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D65A" w14:textId="06ABC2B9" w:rsidR="00060937" w:rsidRPr="00D3557C" w:rsidRDefault="00B0169D" w:rsidP="00B9310A">
      <w:pPr>
        <w:pStyle w:val="Geenafstand"/>
        <w:rPr>
          <w:rFonts w:ascii="Open Sans" w:hAnsi="Open Sans" w:cs="Open Sans"/>
          <w:b/>
          <w:bCs/>
          <w:sz w:val="26"/>
          <w:szCs w:val="26"/>
        </w:rPr>
      </w:pPr>
      <w:r w:rsidRPr="00260D8C">
        <w:rPr>
          <w:rFonts w:ascii="Open Sans" w:hAnsi="Open Sans" w:cs="Open Sans"/>
          <w:b/>
          <w:bCs/>
          <w:sz w:val="26"/>
          <w:szCs w:val="26"/>
          <w:lang w:val="en-GB"/>
        </w:rPr>
        <w:t xml:space="preserve">More added value than ever from </w:t>
      </w:r>
      <w:r w:rsidR="00A2745D" w:rsidRPr="00260D8C">
        <w:rPr>
          <w:rFonts w:ascii="Open Sans" w:hAnsi="Open Sans" w:cs="Open Sans"/>
          <w:b/>
          <w:bCs/>
          <w:sz w:val="26"/>
          <w:szCs w:val="26"/>
          <w:lang w:val="en-GB"/>
        </w:rPr>
        <w:t>f</w:t>
      </w:r>
      <w:r w:rsidR="008C05B4" w:rsidRPr="00260D8C">
        <w:rPr>
          <w:rFonts w:ascii="Open Sans" w:hAnsi="Open Sans" w:cs="Open Sans"/>
          <w:b/>
          <w:bCs/>
          <w:sz w:val="26"/>
          <w:szCs w:val="26"/>
          <w:lang w:val="en-GB"/>
        </w:rPr>
        <w:t xml:space="preserve">iscal </w:t>
      </w:r>
      <w:r w:rsidR="00A2745D" w:rsidRPr="00260D8C">
        <w:rPr>
          <w:rFonts w:ascii="Open Sans" w:hAnsi="Open Sans" w:cs="Open Sans"/>
          <w:b/>
          <w:bCs/>
          <w:sz w:val="26"/>
          <w:szCs w:val="26"/>
          <w:lang w:val="en-GB"/>
        </w:rPr>
        <w:t>i</w:t>
      </w:r>
      <w:r w:rsidR="008C05B4" w:rsidRPr="00260D8C">
        <w:rPr>
          <w:rFonts w:ascii="Open Sans" w:hAnsi="Open Sans" w:cs="Open Sans"/>
          <w:b/>
          <w:bCs/>
          <w:sz w:val="26"/>
          <w:szCs w:val="26"/>
          <w:lang w:val="en-GB"/>
        </w:rPr>
        <w:t xml:space="preserve">nvestment </w:t>
      </w:r>
      <w:r w:rsidR="00A2745D" w:rsidRPr="00260D8C">
        <w:rPr>
          <w:rFonts w:ascii="Open Sans" w:hAnsi="Open Sans" w:cs="Open Sans"/>
          <w:b/>
          <w:bCs/>
          <w:sz w:val="26"/>
          <w:szCs w:val="26"/>
          <w:lang w:val="en-GB"/>
        </w:rPr>
        <w:t>i</w:t>
      </w:r>
      <w:r w:rsidR="008C05B4" w:rsidRPr="00260D8C">
        <w:rPr>
          <w:rFonts w:ascii="Open Sans" w:hAnsi="Open Sans" w:cs="Open Sans"/>
          <w:b/>
          <w:bCs/>
          <w:sz w:val="26"/>
          <w:szCs w:val="26"/>
          <w:lang w:val="en-GB"/>
        </w:rPr>
        <w:t>nstitution</w:t>
      </w:r>
      <w:r w:rsidR="00E9348B" w:rsidRPr="00260D8C">
        <w:rPr>
          <w:rFonts w:ascii="Open Sans" w:hAnsi="Open Sans" w:cs="Open Sans"/>
          <w:b/>
          <w:bCs/>
          <w:sz w:val="26"/>
          <w:szCs w:val="26"/>
          <w:lang w:val="en-GB"/>
        </w:rPr>
        <w:t xml:space="preserve"> (FII)</w:t>
      </w:r>
    </w:p>
    <w:p w14:paraId="5415ADED" w14:textId="77777777" w:rsidR="00097448" w:rsidRPr="00495F0B" w:rsidRDefault="00097448" w:rsidP="00B9310A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</w:p>
    <w:p w14:paraId="1B72DE04" w14:textId="255F36A5" w:rsidR="0060778F" w:rsidRDefault="008C05B4" w:rsidP="008F116E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In </w:t>
      </w:r>
      <w:r w:rsidR="00B1577E" w:rsidRPr="00260D8C">
        <w:rPr>
          <w:rFonts w:ascii="Open Sans" w:hAnsi="Open Sans" w:cs="Open Sans"/>
          <w:b/>
          <w:bCs/>
          <w:sz w:val="18"/>
          <w:szCs w:val="18"/>
          <w:lang w:val="en-GB"/>
        </w:rPr>
        <w:t>just over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50 years, the</w:t>
      </w:r>
      <w:r w:rsidR="00A2745D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ED0F6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fiscal investment institution</w:t>
      </w:r>
      <w:r w:rsidR="00B443D8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DF01A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(FII</w:t>
      </w:r>
      <w:r w:rsidR="008F116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) - </w:t>
      </w:r>
      <w:r w:rsidR="00DF01AA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in Dutch </w:t>
      </w:r>
      <w:r w:rsidR="00C63402">
        <w:rPr>
          <w:rFonts w:ascii="Open Sans" w:hAnsi="Open Sans" w:cs="Open Sans"/>
          <w:b/>
          <w:bCs/>
          <w:sz w:val="18"/>
          <w:szCs w:val="18"/>
          <w:lang w:val="en-GB"/>
        </w:rPr>
        <w:t xml:space="preserve">is </w:t>
      </w:r>
      <w:r w:rsidR="00DF01AA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referred to as </w:t>
      </w:r>
      <w:r w:rsidR="00DF01AA" w:rsidRPr="00260D8C">
        <w:rPr>
          <w:rFonts w:ascii="Open Sans" w:hAnsi="Open Sans" w:cs="Open Sans"/>
          <w:b/>
          <w:bCs/>
          <w:i/>
          <w:iCs/>
          <w:sz w:val="18"/>
          <w:szCs w:val="18"/>
          <w:lang w:val="en-GB"/>
        </w:rPr>
        <w:t>fiscale beleggingsinstelling</w:t>
      </w:r>
      <w:r w:rsidR="00DF01A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, or FBI</w:t>
      </w:r>
      <w:r w:rsidR="008F116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-</w:t>
      </w:r>
      <w:r w:rsidR="00DF01AA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has </w:t>
      </w:r>
      <w:r w:rsidR="001040F9" w:rsidRPr="00260D8C">
        <w:rPr>
          <w:rFonts w:ascii="Open Sans" w:hAnsi="Open Sans" w:cs="Open Sans"/>
          <w:b/>
          <w:bCs/>
          <w:sz w:val="18"/>
          <w:szCs w:val="18"/>
          <w:lang w:val="en-GB"/>
        </w:rPr>
        <w:t>come to offer considerable</w:t>
      </w:r>
      <w:r w:rsidR="00E9348B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added value </w:t>
      </w:r>
      <w:r w:rsidR="00ED0F6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to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private investors </w:t>
      </w:r>
      <w:r w:rsidR="00E9348B" w:rsidRPr="00260D8C">
        <w:rPr>
          <w:rFonts w:ascii="Open Sans" w:hAnsi="Open Sans" w:cs="Open Sans"/>
          <w:b/>
          <w:bCs/>
          <w:sz w:val="18"/>
          <w:szCs w:val="18"/>
          <w:lang w:val="en-GB"/>
        </w:rPr>
        <w:t>as well as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ED0F6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to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insur</w:t>
      </w:r>
      <w:r w:rsidR="00A2745D" w:rsidRPr="00260D8C">
        <w:rPr>
          <w:rFonts w:ascii="Open Sans" w:hAnsi="Open Sans" w:cs="Open Sans"/>
          <w:b/>
          <w:bCs/>
          <w:sz w:val="18"/>
          <w:szCs w:val="18"/>
          <w:lang w:val="en-GB"/>
        </w:rPr>
        <w:t>ance companies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and pension </w:t>
      </w:r>
      <w:r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funds. 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Introduced in 1969, </w:t>
      </w:r>
      <w:r w:rsidR="00426AE0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this </w:t>
      </w:r>
      <w:r w:rsidR="00DF01AA" w:rsidRPr="000928CF">
        <w:rPr>
          <w:rFonts w:ascii="Open Sans" w:hAnsi="Open Sans" w:cs="Open Sans"/>
          <w:b/>
          <w:bCs/>
          <w:sz w:val="18"/>
          <w:szCs w:val="18"/>
          <w:lang w:val="en-GB"/>
        </w:rPr>
        <w:t>scheme</w:t>
      </w:r>
      <w:r w:rsidR="00426AE0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790CE8" w:rsidRPr="000928CF">
        <w:rPr>
          <w:rFonts w:ascii="Open Sans" w:hAnsi="Open Sans" w:cs="Open Sans"/>
          <w:b/>
          <w:bCs/>
          <w:sz w:val="18"/>
          <w:szCs w:val="18"/>
          <w:lang w:val="en-GB"/>
        </w:rPr>
        <w:t>aimed</w:t>
      </w:r>
      <w:r w:rsidR="001F62F4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to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make secure and diversified invest</w:t>
      </w:r>
      <w:r w:rsidR="00B006D4" w:rsidRPr="000928CF">
        <w:rPr>
          <w:rFonts w:ascii="Open Sans" w:hAnsi="Open Sans" w:cs="Open Sans"/>
          <w:b/>
          <w:bCs/>
          <w:sz w:val="18"/>
          <w:szCs w:val="18"/>
          <w:lang w:val="en-GB"/>
        </w:rPr>
        <w:t>ing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through 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 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>fund</w:t>
      </w:r>
      <w:r w:rsidR="00F94E5A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DF01AA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also 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attractive </w:t>
      </w:r>
      <w:r w:rsidR="006C636B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and accessible 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>to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790CE8" w:rsidRPr="000928CF">
        <w:rPr>
          <w:rFonts w:ascii="Open Sans" w:hAnsi="Open Sans" w:cs="Open Sans"/>
          <w:b/>
          <w:bCs/>
          <w:sz w:val="18"/>
          <w:szCs w:val="18"/>
          <w:lang w:val="en-GB"/>
        </w:rPr>
        <w:t>retail clients</w:t>
      </w:r>
      <w:r w:rsidR="00DF01AA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-</w:t>
      </w:r>
      <w:r w:rsidR="00790CE8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small private </w:t>
      </w:r>
      <w:r w:rsidR="00F94E5A" w:rsidRPr="000928CF">
        <w:rPr>
          <w:rFonts w:ascii="Open Sans" w:hAnsi="Open Sans" w:cs="Open Sans"/>
          <w:b/>
          <w:bCs/>
          <w:sz w:val="18"/>
          <w:szCs w:val="18"/>
          <w:lang w:val="en-GB"/>
        </w:rPr>
        <w:t>savers</w:t>
      </w:r>
      <w:r w:rsidR="00790CE8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DF01AA" w:rsidRPr="000928CF">
        <w:rPr>
          <w:rFonts w:ascii="Open Sans" w:hAnsi="Open Sans" w:cs="Open Sans"/>
          <w:b/>
          <w:bCs/>
          <w:sz w:val="18"/>
          <w:szCs w:val="18"/>
          <w:lang w:val="en-GB"/>
        </w:rPr>
        <w:t>and not just</w:t>
      </w:r>
      <w:r w:rsidR="001040F9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6C636B" w:rsidRPr="000928CF">
        <w:rPr>
          <w:rFonts w:ascii="Open Sans" w:hAnsi="Open Sans" w:cs="Open Sans"/>
          <w:b/>
          <w:bCs/>
          <w:sz w:val="18"/>
          <w:szCs w:val="18"/>
          <w:lang w:val="en-GB"/>
        </w:rPr>
        <w:t>private wealth clients</w:t>
      </w:r>
      <w:r w:rsidR="00A2745D" w:rsidRPr="000928CF">
        <w:rPr>
          <w:rFonts w:ascii="Open Sans" w:hAnsi="Open Sans" w:cs="Open Sans"/>
          <w:b/>
          <w:bCs/>
          <w:sz w:val="18"/>
          <w:szCs w:val="18"/>
          <w:lang w:val="en-GB"/>
        </w:rPr>
        <w:t>.</w:t>
      </w:r>
      <w:r w:rsidR="0060778F" w:rsidRPr="000928CF">
        <w:rPr>
          <w:sz w:val="18"/>
        </w:rPr>
        <w:t xml:space="preserve"> </w:t>
      </w:r>
      <w:r w:rsidR="00CC230E" w:rsidRPr="000928CF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>nvest</w:t>
      </w:r>
      <w:r w:rsidR="00B006D4" w:rsidRPr="000928CF">
        <w:rPr>
          <w:rFonts w:ascii="Open Sans" w:hAnsi="Open Sans" w:cs="Open Sans"/>
          <w:b/>
          <w:bCs/>
          <w:sz w:val="18"/>
          <w:szCs w:val="18"/>
          <w:lang w:val="en-GB"/>
        </w:rPr>
        <w:t>ment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through a</w:t>
      </w:r>
      <w:r w:rsidR="00ED0F6A" w:rsidRPr="000928CF">
        <w:rPr>
          <w:rFonts w:ascii="Open Sans" w:hAnsi="Open Sans" w:cs="Open Sans"/>
          <w:b/>
          <w:bCs/>
          <w:sz w:val="18"/>
          <w:szCs w:val="18"/>
          <w:lang w:val="en-GB"/>
        </w:rPr>
        <w:t>n F</w:t>
      </w:r>
      <w:r w:rsidR="00B006D4" w:rsidRPr="000928CF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ED0F6A" w:rsidRPr="000928CF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B006D4" w:rsidRPr="000928CF">
        <w:rPr>
          <w:rFonts w:ascii="Open Sans" w:hAnsi="Open Sans" w:cs="Open Sans"/>
          <w:b/>
          <w:bCs/>
          <w:sz w:val="18"/>
          <w:szCs w:val="18"/>
          <w:lang w:val="en-GB"/>
        </w:rPr>
        <w:t>allows</w:t>
      </w:r>
      <w:r w:rsidR="00CC230E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Dutch private investors to invest at the same cost as </w:t>
      </w:r>
      <w:r w:rsidR="00517327" w:rsidRPr="000928CF">
        <w:rPr>
          <w:rFonts w:ascii="Open Sans" w:hAnsi="Open Sans" w:cs="Open Sans"/>
          <w:b/>
          <w:bCs/>
          <w:sz w:val="18"/>
          <w:szCs w:val="18"/>
          <w:lang w:val="en-GB"/>
        </w:rPr>
        <w:t>if</w:t>
      </w:r>
      <w:r w:rsidR="00594CAB" w:rsidRPr="000928CF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they were</w:t>
      </w:r>
      <w:r w:rsidR="00594CAB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to invest directly</w:t>
      </w:r>
      <w:r w:rsidR="009105E1" w:rsidRPr="00260D8C">
        <w:rPr>
          <w:rFonts w:ascii="Open Sans" w:hAnsi="Open Sans" w:cs="Open Sans"/>
          <w:b/>
          <w:bCs/>
          <w:sz w:val="18"/>
          <w:szCs w:val="18"/>
          <w:lang w:val="en-GB"/>
        </w:rPr>
        <w:t>,</w:t>
      </w:r>
      <w:r w:rsidR="0060778F" w:rsidRPr="00DF01A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9105E1" w:rsidRPr="00260D8C">
        <w:rPr>
          <w:rFonts w:ascii="Open Sans" w:hAnsi="Open Sans" w:cs="Open Sans"/>
          <w:b/>
          <w:bCs/>
          <w:sz w:val="18"/>
          <w:szCs w:val="18"/>
          <w:lang w:val="en-GB"/>
        </w:rPr>
        <w:t>while also giving them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access to professional management.</w:t>
      </w:r>
      <w:r w:rsidR="0060778F" w:rsidRPr="00DF01A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>The F</w:t>
      </w:r>
      <w:r w:rsidR="00B006D4" w:rsidRPr="00260D8C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ED0F6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DF42C7" w:rsidRPr="00260D8C">
        <w:rPr>
          <w:rFonts w:ascii="Open Sans" w:hAnsi="Open Sans" w:cs="Open Sans"/>
          <w:b/>
          <w:bCs/>
          <w:sz w:val="18"/>
          <w:szCs w:val="18"/>
          <w:lang w:val="en-GB"/>
        </w:rPr>
        <w:t>is now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more important than ever.</w:t>
      </w:r>
      <w:r w:rsidR="0060778F" w:rsidRPr="00DF01A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ED0F6A" w:rsidRPr="00260D8C">
        <w:rPr>
          <w:rFonts w:ascii="Open Sans" w:hAnsi="Open Sans" w:cs="Open Sans"/>
          <w:b/>
          <w:bCs/>
          <w:sz w:val="18"/>
          <w:szCs w:val="18"/>
          <w:lang w:val="en-GB"/>
        </w:rPr>
        <w:t>In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this </w:t>
      </w:r>
      <w:r w:rsidR="00DE3E29" w:rsidRPr="00260D8C">
        <w:rPr>
          <w:rFonts w:ascii="Open Sans" w:hAnsi="Open Sans" w:cs="Open Sans"/>
          <w:b/>
          <w:bCs/>
          <w:sz w:val="18"/>
          <w:szCs w:val="18"/>
          <w:lang w:val="en-GB"/>
        </w:rPr>
        <w:t>time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of low interest rates and high inflation, many Dutch people</w:t>
      </w:r>
      <w:r w:rsidR="00B80A3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>need</w:t>
      </w:r>
      <w:r w:rsidR="00B80A3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>an alternative to saving.</w:t>
      </w:r>
      <w:r w:rsidR="0060778F" w:rsidRPr="007A257F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1F62F4" w:rsidRPr="00260D8C">
        <w:rPr>
          <w:rFonts w:ascii="Open Sans" w:hAnsi="Open Sans" w:cs="Open Sans"/>
          <w:b/>
          <w:bCs/>
          <w:sz w:val="18"/>
          <w:szCs w:val="18"/>
          <w:lang w:val="en-GB"/>
        </w:rPr>
        <w:t>Moreover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, </w:t>
      </w:r>
      <w:r w:rsidR="00807318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more and more people do not have the option to 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>participate in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collective pension 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>scheme</w:t>
      </w:r>
      <w:r w:rsidR="00DE3E29" w:rsidRPr="00260D8C">
        <w:rPr>
          <w:rFonts w:ascii="Open Sans" w:hAnsi="Open Sans" w:cs="Open Sans"/>
          <w:b/>
          <w:bCs/>
          <w:sz w:val="18"/>
          <w:szCs w:val="18"/>
          <w:lang w:val="en-GB"/>
        </w:rPr>
        <w:t>s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and </w:t>
      </w:r>
      <w:r w:rsidR="001F62F4" w:rsidRPr="00260D8C">
        <w:rPr>
          <w:rFonts w:ascii="Open Sans" w:hAnsi="Open Sans" w:cs="Open Sans"/>
          <w:b/>
          <w:bCs/>
          <w:sz w:val="18"/>
          <w:szCs w:val="18"/>
          <w:lang w:val="en-GB"/>
        </w:rPr>
        <w:t>need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to accumulate assets for the future</w:t>
      </w:r>
      <w:r w:rsidR="00DE3E29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themselves</w:t>
      </w:r>
      <w:r w:rsidR="00CC230E" w:rsidRPr="00260D8C">
        <w:rPr>
          <w:rFonts w:ascii="Open Sans" w:hAnsi="Open Sans" w:cs="Open Sans"/>
          <w:b/>
          <w:bCs/>
          <w:sz w:val="18"/>
          <w:szCs w:val="18"/>
          <w:lang w:val="en-GB"/>
        </w:rPr>
        <w:t>.</w:t>
      </w:r>
      <w:r w:rsidR="0060778F" w:rsidRPr="007A257F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They preferably do this </w:t>
      </w:r>
      <w:r w:rsidR="001F62F4" w:rsidRPr="00260D8C">
        <w:rPr>
          <w:rFonts w:ascii="Open Sans" w:hAnsi="Open Sans" w:cs="Open Sans"/>
          <w:b/>
          <w:bCs/>
          <w:sz w:val="18"/>
          <w:szCs w:val="18"/>
          <w:lang w:val="en-GB"/>
        </w:rPr>
        <w:t>by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1C606C"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means of 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>diversified long-term investment,</w:t>
      </w:r>
      <w:r w:rsidR="0060778F" w:rsidRPr="007A257F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>which can be done through an F</w:t>
      </w:r>
      <w:r w:rsidR="00DE3E29" w:rsidRPr="00260D8C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1F62F4" w:rsidRPr="00260D8C">
        <w:rPr>
          <w:rFonts w:ascii="Open Sans" w:hAnsi="Open Sans" w:cs="Open Sans"/>
          <w:b/>
          <w:bCs/>
          <w:sz w:val="18"/>
          <w:szCs w:val="18"/>
          <w:lang w:val="en-GB"/>
        </w:rPr>
        <w:t>I</w:t>
      </w:r>
      <w:r w:rsidR="004A6FCD" w:rsidRPr="00260D8C">
        <w:rPr>
          <w:rFonts w:ascii="Open Sans" w:hAnsi="Open Sans" w:cs="Open Sans"/>
          <w:b/>
          <w:bCs/>
          <w:sz w:val="18"/>
          <w:szCs w:val="18"/>
          <w:lang w:val="en-GB"/>
        </w:rPr>
        <w:t>.</w:t>
      </w:r>
      <w:r w:rsidR="0060778F" w:rsidRPr="007A257F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20BBEE49" w14:textId="77777777" w:rsidR="0060778F" w:rsidRPr="00295B2A" w:rsidRDefault="0060778F" w:rsidP="0060778F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</w:p>
    <w:p w14:paraId="64B12E26" w14:textId="0A207DB3" w:rsidR="0060778F" w:rsidRDefault="004A6FCD" w:rsidP="007A257F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How does </w:t>
      </w:r>
      <w:r w:rsidR="00DE3E29" w:rsidRPr="00260D8C">
        <w:rPr>
          <w:rFonts w:ascii="Open Sans" w:hAnsi="Open Sans" w:cs="Open Sans"/>
          <w:b/>
          <w:bCs/>
          <w:sz w:val="18"/>
          <w:szCs w:val="18"/>
          <w:lang w:val="en-GB"/>
        </w:rPr>
        <w:t>the FII</w:t>
      </w:r>
      <w:r w:rsidRPr="00260D8C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work?</w:t>
      </w:r>
      <w:r w:rsidR="0060778F" w:rsidRPr="007A257F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7C445A84" w14:textId="0CC72975" w:rsidR="0060778F" w:rsidRPr="007A257F" w:rsidRDefault="00DE3E29" w:rsidP="007A257F">
      <w:pPr>
        <w:pStyle w:val="Geenafstand"/>
        <w:rPr>
          <w:rFonts w:ascii="Open Sans" w:hAnsi="Open Sans" w:cs="Open Sans"/>
          <w:sz w:val="18"/>
          <w:szCs w:val="18"/>
        </w:rPr>
      </w:pPr>
      <w:r w:rsidRPr="00260D8C">
        <w:rPr>
          <w:rFonts w:ascii="Open Sans" w:hAnsi="Open Sans" w:cs="Open Sans"/>
          <w:sz w:val="18"/>
          <w:szCs w:val="18"/>
          <w:lang w:val="en-GB"/>
        </w:rPr>
        <w:t>The FII</w:t>
      </w:r>
      <w:r w:rsidR="004A6FCD" w:rsidRPr="00260D8C">
        <w:rPr>
          <w:rFonts w:ascii="Open Sans" w:hAnsi="Open Sans" w:cs="Open Sans"/>
          <w:sz w:val="18"/>
          <w:szCs w:val="18"/>
          <w:lang w:val="en-GB"/>
        </w:rPr>
        <w:t xml:space="preserve"> is a tax scheme </w:t>
      </w:r>
      <w:r w:rsidR="001F62F4" w:rsidRPr="00260D8C">
        <w:rPr>
          <w:rFonts w:ascii="Open Sans" w:hAnsi="Open Sans" w:cs="Open Sans"/>
          <w:sz w:val="18"/>
          <w:szCs w:val="18"/>
          <w:lang w:val="en-GB"/>
        </w:rPr>
        <w:t>for an investment fund</w:t>
      </w:r>
      <w:r w:rsidRPr="00260D8C">
        <w:rPr>
          <w:rFonts w:ascii="Open Sans" w:hAnsi="Open Sans" w:cs="Open Sans"/>
          <w:sz w:val="18"/>
          <w:szCs w:val="18"/>
          <w:lang w:val="en-GB"/>
        </w:rPr>
        <w:t xml:space="preserve"> which is</w:t>
      </w:r>
      <w:r w:rsidR="004A6FCD" w:rsidRPr="00260D8C">
        <w:rPr>
          <w:rFonts w:ascii="Open Sans" w:hAnsi="Open Sans" w:cs="Open Sans"/>
          <w:sz w:val="18"/>
          <w:szCs w:val="18"/>
          <w:lang w:val="en-GB"/>
        </w:rPr>
        <w:t xml:space="preserve"> also referred to as a ‘tax regime’.</w:t>
      </w:r>
      <w:r w:rsidR="0060778F" w:rsidRPr="007A257F">
        <w:rPr>
          <w:rFonts w:ascii="Open Sans" w:hAnsi="Open Sans" w:cs="Open Sans"/>
          <w:sz w:val="18"/>
          <w:szCs w:val="18"/>
        </w:rPr>
        <w:t xml:space="preserve"> </w:t>
      </w:r>
      <w:r w:rsidRPr="00260D8C">
        <w:rPr>
          <w:rFonts w:ascii="Open Sans" w:hAnsi="Open Sans" w:cs="Open Sans"/>
          <w:sz w:val="18"/>
          <w:szCs w:val="18"/>
          <w:lang w:val="en-GB"/>
        </w:rPr>
        <w:t>The scheme</w:t>
      </w:r>
      <w:r w:rsidR="00022B19" w:rsidRPr="00260D8C">
        <w:rPr>
          <w:rFonts w:ascii="Open Sans" w:hAnsi="Open Sans" w:cs="Open Sans"/>
          <w:sz w:val="18"/>
          <w:szCs w:val="18"/>
          <w:lang w:val="en-GB"/>
        </w:rPr>
        <w:t xml:space="preserve"> makes it attractive for private investor</w:t>
      </w:r>
      <w:r w:rsidR="003536D5" w:rsidRPr="00260D8C">
        <w:rPr>
          <w:rFonts w:ascii="Open Sans" w:hAnsi="Open Sans" w:cs="Open Sans"/>
          <w:sz w:val="18"/>
          <w:szCs w:val="18"/>
          <w:lang w:val="en-GB"/>
        </w:rPr>
        <w:t>s</w:t>
      </w:r>
      <w:r w:rsidR="00022B19" w:rsidRPr="00260D8C">
        <w:rPr>
          <w:rFonts w:ascii="Open Sans" w:hAnsi="Open Sans" w:cs="Open Sans"/>
          <w:sz w:val="18"/>
          <w:szCs w:val="18"/>
          <w:lang w:val="en-GB"/>
        </w:rPr>
        <w:t xml:space="preserve"> to invest in shares, in part because</w:t>
      </w:r>
      <w:r w:rsidRPr="00260D8C">
        <w:rPr>
          <w:rFonts w:ascii="Open Sans" w:hAnsi="Open Sans" w:cs="Open Sans"/>
          <w:sz w:val="18"/>
          <w:szCs w:val="18"/>
          <w:lang w:val="en-GB"/>
        </w:rPr>
        <w:t xml:space="preserve"> it prevents</w:t>
      </w:r>
      <w:r w:rsidR="00022B19" w:rsidRPr="00260D8C">
        <w:rPr>
          <w:rFonts w:ascii="Open Sans" w:hAnsi="Open Sans" w:cs="Open Sans"/>
          <w:sz w:val="18"/>
          <w:szCs w:val="18"/>
          <w:lang w:val="en-GB"/>
        </w:rPr>
        <w:t xml:space="preserve"> double taxation.</w:t>
      </w:r>
      <w:r w:rsidR="0060778F" w:rsidRPr="007A257F">
        <w:rPr>
          <w:rFonts w:ascii="Open Sans" w:hAnsi="Open Sans" w:cs="Open Sans"/>
          <w:sz w:val="18"/>
          <w:szCs w:val="18"/>
        </w:rPr>
        <w:t xml:space="preserve"> </w:t>
      </w:r>
      <w:r w:rsidRPr="00260D8C">
        <w:rPr>
          <w:rFonts w:ascii="Open Sans" w:hAnsi="Open Sans" w:cs="Open Sans"/>
          <w:sz w:val="18"/>
          <w:szCs w:val="18"/>
          <w:lang w:val="en-GB"/>
        </w:rPr>
        <w:t>W</w:t>
      </w:r>
      <w:r w:rsidR="00022B19" w:rsidRPr="00260D8C">
        <w:rPr>
          <w:rFonts w:ascii="Open Sans" w:hAnsi="Open Sans" w:cs="Open Sans"/>
          <w:sz w:val="18"/>
          <w:szCs w:val="18"/>
          <w:lang w:val="en-GB"/>
        </w:rPr>
        <w:t xml:space="preserve">e will explain how </w:t>
      </w:r>
      <w:r w:rsidR="003536D5" w:rsidRPr="00260D8C">
        <w:rPr>
          <w:rFonts w:ascii="Open Sans" w:hAnsi="Open Sans" w:cs="Open Sans"/>
          <w:sz w:val="18"/>
          <w:szCs w:val="18"/>
          <w:lang w:val="en-GB"/>
        </w:rPr>
        <w:t>this</w:t>
      </w:r>
      <w:r w:rsidR="00022B19" w:rsidRPr="00260D8C">
        <w:rPr>
          <w:rFonts w:ascii="Open Sans" w:hAnsi="Open Sans" w:cs="Open Sans"/>
          <w:sz w:val="18"/>
          <w:szCs w:val="18"/>
          <w:lang w:val="en-GB"/>
        </w:rPr>
        <w:t xml:space="preserve"> works</w:t>
      </w:r>
      <w:r w:rsidRPr="00260D8C">
        <w:rPr>
          <w:rFonts w:ascii="Open Sans" w:hAnsi="Open Sans" w:cs="Open Sans"/>
          <w:sz w:val="18"/>
          <w:szCs w:val="18"/>
          <w:lang w:val="en-GB"/>
        </w:rPr>
        <w:t xml:space="preserve"> below</w:t>
      </w:r>
      <w:r w:rsidR="00022B19" w:rsidRPr="00260D8C">
        <w:rPr>
          <w:rFonts w:ascii="Open Sans" w:hAnsi="Open Sans" w:cs="Open Sans"/>
          <w:sz w:val="18"/>
          <w:szCs w:val="18"/>
          <w:lang w:val="en-GB"/>
        </w:rPr>
        <w:t>.</w:t>
      </w:r>
    </w:p>
    <w:p w14:paraId="65517DAD" w14:textId="77777777" w:rsidR="0060778F" w:rsidRDefault="0060778F" w:rsidP="0060778F">
      <w:pPr>
        <w:pStyle w:val="Geenafstand"/>
        <w:rPr>
          <w:rFonts w:ascii="Open Sans" w:hAnsi="Open Sans" w:cs="Open Sans"/>
          <w:sz w:val="18"/>
          <w:szCs w:val="18"/>
        </w:rPr>
      </w:pPr>
    </w:p>
    <w:p w14:paraId="024F3C47" w14:textId="5640CA34" w:rsidR="0060778F" w:rsidRPr="007A257F" w:rsidRDefault="00022B19" w:rsidP="007A257F">
      <w:pPr>
        <w:pStyle w:val="Geenafstand"/>
        <w:rPr>
          <w:rFonts w:ascii="Open Sans" w:hAnsi="Open Sans" w:cs="Open Sans"/>
          <w:i/>
          <w:iCs/>
          <w:sz w:val="18"/>
          <w:szCs w:val="18"/>
        </w:rPr>
      </w:pPr>
      <w:r w:rsidRPr="00260D8C">
        <w:rPr>
          <w:rFonts w:ascii="Open Sans" w:hAnsi="Open Sans" w:cs="Open Sans"/>
          <w:i/>
          <w:iCs/>
          <w:sz w:val="18"/>
          <w:szCs w:val="18"/>
          <w:lang w:val="en-GB"/>
        </w:rPr>
        <w:t>Preventing double taxation</w:t>
      </w:r>
    </w:p>
    <w:p w14:paraId="34C82EE2" w14:textId="59C55D89" w:rsidR="0060778F" w:rsidRPr="007A257F" w:rsidRDefault="00022B19" w:rsidP="002C08FF">
      <w:pPr>
        <w:pStyle w:val="Geenafstand"/>
        <w:rPr>
          <w:rFonts w:ascii="Open Sans" w:hAnsi="Open Sans" w:cs="Open Sans"/>
          <w:sz w:val="18"/>
          <w:szCs w:val="18"/>
        </w:rPr>
      </w:pPr>
      <w:r w:rsidRPr="00260D8C">
        <w:rPr>
          <w:rFonts w:ascii="Open Sans" w:hAnsi="Open Sans" w:cs="Open Sans"/>
          <w:sz w:val="18"/>
          <w:szCs w:val="18"/>
          <w:lang w:val="en-GB"/>
        </w:rPr>
        <w:t xml:space="preserve">Private investors pay income tax on their investments, </w:t>
      </w:r>
      <w:r w:rsidR="00EA22C9" w:rsidRPr="00260D8C">
        <w:rPr>
          <w:rFonts w:ascii="Open Sans" w:hAnsi="Open Sans" w:cs="Open Sans"/>
          <w:sz w:val="18"/>
          <w:szCs w:val="18"/>
          <w:lang w:val="en-GB"/>
        </w:rPr>
        <w:t>but</w:t>
      </w:r>
      <w:r w:rsidR="0060778F" w:rsidRPr="007A257F">
        <w:rPr>
          <w:rFonts w:ascii="Open Sans" w:hAnsi="Open Sans" w:cs="Open Sans"/>
          <w:sz w:val="18"/>
          <w:szCs w:val="18"/>
        </w:rPr>
        <w:t xml:space="preserve"> </w:t>
      </w:r>
      <w:r w:rsidR="00EA22C9" w:rsidRPr="00260D8C">
        <w:rPr>
          <w:rFonts w:ascii="Open Sans" w:hAnsi="Open Sans" w:cs="Open Sans"/>
          <w:sz w:val="18"/>
          <w:szCs w:val="18"/>
          <w:lang w:val="en-GB"/>
        </w:rPr>
        <w:t xml:space="preserve">other 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countries also levy </w:t>
      </w:r>
      <w:r w:rsidR="00C34514" w:rsidRPr="00260D8C">
        <w:rPr>
          <w:rFonts w:ascii="Open Sans" w:hAnsi="Open Sans" w:cs="Open Sans"/>
          <w:sz w:val="18"/>
          <w:szCs w:val="18"/>
          <w:lang w:val="en-GB"/>
        </w:rPr>
        <w:t xml:space="preserve">dividend 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>withholding tax.</w:t>
      </w:r>
      <w:r w:rsidR="0060778F" w:rsidRPr="007A257F">
        <w:rPr>
          <w:rFonts w:ascii="Open Sans" w:hAnsi="Open Sans" w:cs="Open Sans"/>
          <w:sz w:val="18"/>
          <w:szCs w:val="18"/>
        </w:rPr>
        <w:t xml:space="preserve"> 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Private investors 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>can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request these countries to </w:t>
      </w:r>
      <w:r w:rsidR="00CD0C38" w:rsidRPr="00260D8C">
        <w:rPr>
          <w:rFonts w:ascii="Open Sans" w:hAnsi="Open Sans" w:cs="Open Sans"/>
          <w:sz w:val="18"/>
          <w:szCs w:val="18"/>
          <w:lang w:val="en-GB"/>
        </w:rPr>
        <w:t>limit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th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>is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>extra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withholding tax to the rates 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>incorporated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in the </w:t>
      </w:r>
      <w:r w:rsidR="002C08FF" w:rsidRPr="000928CF">
        <w:rPr>
          <w:rFonts w:ascii="Open Sans" w:hAnsi="Open Sans" w:cs="Open Sans"/>
          <w:sz w:val="18"/>
          <w:szCs w:val="18"/>
          <w:lang w:val="en-GB"/>
        </w:rPr>
        <w:t>double-</w:t>
      </w:r>
      <w:r w:rsidR="0034195F" w:rsidRPr="000928CF">
        <w:rPr>
          <w:rFonts w:ascii="Open Sans" w:hAnsi="Open Sans" w:cs="Open Sans"/>
          <w:sz w:val="18"/>
          <w:szCs w:val="18"/>
          <w:lang w:val="en-GB"/>
        </w:rPr>
        <w:t>tax</w:t>
      </w:r>
      <w:r w:rsidR="002C08FF" w:rsidRPr="000928CF">
        <w:rPr>
          <w:rFonts w:ascii="Open Sans" w:hAnsi="Open Sans" w:cs="Open Sans"/>
          <w:sz w:val="18"/>
          <w:szCs w:val="18"/>
          <w:lang w:val="en-GB"/>
        </w:rPr>
        <w:t xml:space="preserve">ation </w:t>
      </w:r>
      <w:r w:rsidR="0034195F" w:rsidRPr="000928CF">
        <w:rPr>
          <w:rFonts w:ascii="Open Sans" w:hAnsi="Open Sans" w:cs="Open Sans"/>
          <w:sz w:val="18"/>
          <w:szCs w:val="18"/>
          <w:lang w:val="en-GB"/>
        </w:rPr>
        <w:t>treaties</w:t>
      </w:r>
      <w:r w:rsidR="002C08FF" w:rsidRPr="000928CF">
        <w:rPr>
          <w:rStyle w:val="Voetnootmarkering"/>
          <w:rFonts w:ascii="Open Sans" w:hAnsi="Open Sans" w:cs="Open Sans"/>
          <w:sz w:val="18"/>
          <w:szCs w:val="18"/>
          <w:lang w:val="en-GB"/>
        </w:rPr>
        <w:footnoteReference w:id="1"/>
      </w:r>
      <w:r w:rsidR="001E73B8" w:rsidRPr="000928CF">
        <w:rPr>
          <w:rFonts w:ascii="Open Sans" w:hAnsi="Open Sans" w:cs="Open Sans"/>
          <w:sz w:val="18"/>
          <w:szCs w:val="18"/>
          <w:lang w:val="en-GB"/>
        </w:rPr>
        <w:t xml:space="preserve"> which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the Netherlands </w:t>
      </w:r>
      <w:r w:rsidR="00CD0C38" w:rsidRPr="00260D8C">
        <w:rPr>
          <w:rFonts w:ascii="Open Sans" w:hAnsi="Open Sans" w:cs="Open Sans"/>
          <w:sz w:val="18"/>
          <w:szCs w:val="18"/>
          <w:lang w:val="en-GB"/>
        </w:rPr>
        <w:t xml:space="preserve">has 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entered into with 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>several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countries.</w:t>
      </w:r>
      <w:r w:rsidR="0060778F" w:rsidRPr="002C08FF">
        <w:rPr>
          <w:rFonts w:ascii="Open Sans" w:hAnsi="Open Sans" w:cs="Open Sans"/>
          <w:sz w:val="18"/>
          <w:szCs w:val="18"/>
        </w:rPr>
        <w:t xml:space="preserve"> 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They can 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>off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set the remainder against their income tax, </w:t>
      </w:r>
      <w:r w:rsidR="00CD0C38" w:rsidRPr="00260D8C">
        <w:rPr>
          <w:rFonts w:ascii="Open Sans" w:hAnsi="Open Sans" w:cs="Open Sans"/>
          <w:sz w:val="18"/>
          <w:szCs w:val="18"/>
          <w:lang w:val="en-GB"/>
        </w:rPr>
        <w:t>thus preventing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>double taxation</w:t>
      </w:r>
      <w:r w:rsidR="00F87031" w:rsidRPr="00260D8C">
        <w:rPr>
          <w:rFonts w:ascii="Open Sans" w:hAnsi="Open Sans" w:cs="Open Sans"/>
          <w:sz w:val="18"/>
          <w:szCs w:val="18"/>
          <w:lang w:val="en-GB"/>
        </w:rPr>
        <w:t>.</w:t>
      </w:r>
      <w:r w:rsidR="0060778F" w:rsidRPr="007A257F">
        <w:rPr>
          <w:rFonts w:ascii="Open Sans" w:hAnsi="Open Sans" w:cs="Open Sans"/>
          <w:sz w:val="18"/>
          <w:szCs w:val="18"/>
        </w:rPr>
        <w:t xml:space="preserve"> </w:t>
      </w:r>
      <w:r w:rsidR="001E73B8" w:rsidRPr="00260D8C">
        <w:rPr>
          <w:rFonts w:ascii="Open Sans" w:hAnsi="Open Sans" w:cs="Open Sans"/>
          <w:sz w:val="18"/>
          <w:szCs w:val="18"/>
          <w:lang w:val="en-GB"/>
        </w:rPr>
        <w:t xml:space="preserve">Otherwise, </w:t>
      </w:r>
      <w:r w:rsidR="00EC3CCE" w:rsidRPr="00260D8C">
        <w:rPr>
          <w:rFonts w:ascii="Open Sans" w:hAnsi="Open Sans" w:cs="Open Sans"/>
          <w:sz w:val="18"/>
          <w:szCs w:val="18"/>
          <w:lang w:val="en-GB"/>
        </w:rPr>
        <w:t>as a result of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A43EE5" w:rsidRPr="00260D8C">
        <w:rPr>
          <w:rFonts w:ascii="Open Sans" w:hAnsi="Open Sans" w:cs="Open Sans"/>
          <w:sz w:val="18"/>
          <w:szCs w:val="18"/>
          <w:lang w:val="en-GB"/>
        </w:rPr>
        <w:t>the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missed '</w:t>
      </w:r>
      <w:r w:rsidR="00CD0C38" w:rsidRPr="00260D8C">
        <w:rPr>
          <w:rFonts w:ascii="Open Sans" w:hAnsi="Open Sans" w:cs="Open Sans"/>
          <w:sz w:val="18"/>
          <w:szCs w:val="18"/>
          <w:lang w:val="en-GB"/>
        </w:rPr>
        <w:t>interest</w:t>
      </w:r>
      <w:r w:rsidR="000A3AAD" w:rsidRPr="00260D8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CD0C38" w:rsidRPr="00260D8C">
        <w:rPr>
          <w:rFonts w:ascii="Open Sans" w:hAnsi="Open Sans" w:cs="Open Sans"/>
          <w:sz w:val="18"/>
          <w:szCs w:val="18"/>
          <w:lang w:val="en-GB"/>
        </w:rPr>
        <w:t>on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 xml:space="preserve"> interest</w:t>
      </w:r>
      <w:r w:rsidR="00EC3CCE" w:rsidRPr="00260D8C">
        <w:rPr>
          <w:rFonts w:ascii="Open Sans" w:hAnsi="Open Sans" w:cs="Open Sans"/>
          <w:sz w:val="18"/>
          <w:szCs w:val="18"/>
          <w:lang w:val="en-GB"/>
        </w:rPr>
        <w:t xml:space="preserve"> effect</w:t>
      </w:r>
      <w:r w:rsidR="00A43EE5" w:rsidRPr="00260D8C">
        <w:rPr>
          <w:rFonts w:ascii="Open Sans" w:hAnsi="Open Sans" w:cs="Open Sans"/>
          <w:sz w:val="18"/>
          <w:szCs w:val="18"/>
          <w:lang w:val="en-GB"/>
        </w:rPr>
        <w:t>’</w:t>
      </w:r>
      <w:r w:rsidR="007A257F" w:rsidRPr="00260D8C">
        <w:rPr>
          <w:rFonts w:ascii="Open Sans" w:hAnsi="Open Sans" w:cs="Open Sans"/>
          <w:sz w:val="18"/>
          <w:szCs w:val="18"/>
          <w:lang w:val="en-GB"/>
        </w:rPr>
        <w:t xml:space="preserve"> (also referred to as compound interest effect)</w:t>
      </w:r>
      <w:r w:rsidR="00EC3CCE" w:rsidRPr="00260D8C">
        <w:rPr>
          <w:rFonts w:ascii="Open Sans" w:hAnsi="Open Sans" w:cs="Open Sans"/>
          <w:sz w:val="18"/>
          <w:szCs w:val="18"/>
          <w:lang w:val="en-GB"/>
        </w:rPr>
        <w:t>, double taxation would have a major impact on the</w:t>
      </w:r>
      <w:bookmarkStart w:id="0" w:name="_Hlk103288250"/>
      <w:r w:rsidR="00EA22C9" w:rsidRPr="00260D8C">
        <w:rPr>
          <w:rFonts w:ascii="Open Sans" w:hAnsi="Open Sans" w:cs="Open Sans"/>
          <w:sz w:val="18"/>
          <w:szCs w:val="18"/>
          <w:lang w:val="en-GB"/>
        </w:rPr>
        <w:t xml:space="preserve"> end return</w:t>
      </w:r>
      <w:r w:rsidR="00EC3CCE" w:rsidRPr="00260D8C">
        <w:rPr>
          <w:rFonts w:ascii="Open Sans" w:hAnsi="Open Sans" w:cs="Open Sans"/>
          <w:sz w:val="18"/>
          <w:szCs w:val="18"/>
          <w:lang w:val="en-GB"/>
        </w:rPr>
        <w:t xml:space="preserve"> to be </w:t>
      </w:r>
      <w:bookmarkEnd w:id="0"/>
      <w:r w:rsidR="00EC3CCE" w:rsidRPr="00260D8C">
        <w:rPr>
          <w:rFonts w:ascii="Open Sans" w:hAnsi="Open Sans" w:cs="Open Sans"/>
          <w:sz w:val="18"/>
          <w:szCs w:val="18"/>
          <w:lang w:val="en-GB"/>
        </w:rPr>
        <w:t>gained</w:t>
      </w:r>
      <w:r w:rsidR="0034195F" w:rsidRPr="00260D8C">
        <w:rPr>
          <w:rFonts w:ascii="Open Sans" w:hAnsi="Open Sans" w:cs="Open Sans"/>
          <w:sz w:val="18"/>
          <w:szCs w:val="18"/>
          <w:lang w:val="en-GB"/>
        </w:rPr>
        <w:t>.</w:t>
      </w:r>
      <w:r w:rsidR="007A257F" w:rsidRPr="00260D8C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14:paraId="7EBB6BB1" w14:textId="77777777" w:rsidR="0060778F" w:rsidRPr="00295B2A" w:rsidRDefault="0060778F" w:rsidP="0060778F">
      <w:pPr>
        <w:pStyle w:val="Geenafstand"/>
        <w:rPr>
          <w:rFonts w:ascii="Open Sans" w:hAnsi="Open Sans" w:cs="Open Sans"/>
          <w:sz w:val="18"/>
          <w:szCs w:val="18"/>
        </w:rPr>
      </w:pPr>
    </w:p>
    <w:p w14:paraId="771F631A" w14:textId="39D00CBD" w:rsidR="0060778F" w:rsidRPr="007A257F" w:rsidRDefault="00A43EE5" w:rsidP="007A257F">
      <w:pPr>
        <w:pStyle w:val="Geenafstand"/>
        <w:rPr>
          <w:rFonts w:ascii="Open Sans" w:hAnsi="Open Sans" w:cs="Open Sans"/>
          <w:i/>
          <w:iCs/>
          <w:sz w:val="18"/>
          <w:szCs w:val="18"/>
        </w:rPr>
      </w:pPr>
      <w:r w:rsidRPr="00260D8C">
        <w:rPr>
          <w:rFonts w:ascii="Open Sans" w:hAnsi="Open Sans" w:cs="Open Sans"/>
          <w:i/>
          <w:iCs/>
          <w:sz w:val="18"/>
          <w:szCs w:val="18"/>
          <w:lang w:val="en-GB"/>
        </w:rPr>
        <w:t>Fund investment</w:t>
      </w:r>
      <w:r w:rsidR="002033E7" w:rsidRPr="00260D8C">
        <w:rPr>
          <w:rFonts w:ascii="Open Sans" w:hAnsi="Open Sans" w:cs="Open Sans"/>
          <w:i/>
          <w:iCs/>
          <w:sz w:val="18"/>
          <w:szCs w:val="18"/>
          <w:lang w:val="en-GB"/>
        </w:rPr>
        <w:t>;</w:t>
      </w:r>
      <w:r w:rsidRPr="00260D8C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diversified and cost</w:t>
      </w:r>
      <w:r w:rsidR="007A795B" w:rsidRPr="00260D8C">
        <w:rPr>
          <w:rFonts w:ascii="Open Sans" w:hAnsi="Open Sans" w:cs="Open Sans"/>
          <w:i/>
          <w:iCs/>
          <w:sz w:val="18"/>
          <w:szCs w:val="18"/>
          <w:lang w:val="en-GB"/>
        </w:rPr>
        <w:t>-</w:t>
      </w:r>
      <w:r w:rsidRPr="00260D8C">
        <w:rPr>
          <w:rFonts w:ascii="Open Sans" w:hAnsi="Open Sans" w:cs="Open Sans"/>
          <w:i/>
          <w:iCs/>
          <w:sz w:val="18"/>
          <w:szCs w:val="18"/>
          <w:lang w:val="en-GB"/>
        </w:rPr>
        <w:t>effective</w:t>
      </w:r>
    </w:p>
    <w:p w14:paraId="0A29DBC1" w14:textId="6B320DFE" w:rsidR="0060778F" w:rsidRPr="00C47716" w:rsidRDefault="00DE3E29" w:rsidP="003763F4">
      <w:pPr>
        <w:pStyle w:val="Geenafstand"/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The FII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 xml:space="preserve"> ensures that, </w:t>
      </w:r>
      <w:r w:rsidR="00EC3CCE" w:rsidRPr="00C47716">
        <w:rPr>
          <w:rFonts w:ascii="Open Sans" w:hAnsi="Open Sans" w:cs="Open Sans"/>
          <w:sz w:val="18"/>
          <w:szCs w:val="18"/>
          <w:lang w:val="en-GB"/>
        </w:rPr>
        <w:t>in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 xml:space="preserve"> fiscal </w:t>
      </w:r>
      <w:r w:rsidR="00EC3CCE" w:rsidRPr="00C47716">
        <w:rPr>
          <w:rFonts w:ascii="Open Sans" w:hAnsi="Open Sans" w:cs="Open Sans"/>
          <w:sz w:val="18"/>
          <w:szCs w:val="18"/>
          <w:lang w:val="en-GB"/>
        </w:rPr>
        <w:t>terms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>, fund investment is not more disadvantageous than direct</w:t>
      </w:r>
      <w:r w:rsidR="00EC3CCE" w:rsidRPr="00C47716">
        <w:rPr>
          <w:rFonts w:ascii="Open Sans" w:hAnsi="Open Sans" w:cs="Open Sans"/>
          <w:sz w:val="18"/>
          <w:szCs w:val="18"/>
          <w:lang w:val="en-GB"/>
        </w:rPr>
        <w:t xml:space="preserve"> investment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>,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 xml:space="preserve">because, as a fund, </w:t>
      </w:r>
      <w:r w:rsidRPr="00C47716">
        <w:rPr>
          <w:rFonts w:ascii="Open Sans" w:hAnsi="Open Sans" w:cs="Open Sans"/>
          <w:sz w:val="18"/>
          <w:szCs w:val="18"/>
          <w:lang w:val="en-GB"/>
        </w:rPr>
        <w:t>the FII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 xml:space="preserve"> may also </w:t>
      </w:r>
      <w:r w:rsidR="00EC3CCE" w:rsidRPr="00C47716">
        <w:rPr>
          <w:rFonts w:ascii="Open Sans" w:hAnsi="Open Sans" w:cs="Open Sans"/>
          <w:sz w:val="18"/>
          <w:szCs w:val="18"/>
          <w:lang w:val="en-GB"/>
        </w:rPr>
        <w:t>utilise</w:t>
      </w:r>
      <w:r w:rsidR="003A27F2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 xml:space="preserve">these tax treaties </w:t>
      </w:r>
      <w:r w:rsidR="00EC3CCE" w:rsidRPr="00C47716">
        <w:rPr>
          <w:rFonts w:ascii="Open Sans" w:hAnsi="Open Sans" w:cs="Open Sans"/>
          <w:sz w:val="18"/>
          <w:szCs w:val="18"/>
          <w:lang w:val="en-GB"/>
        </w:rPr>
        <w:t xml:space="preserve">in order </w:t>
      </w:r>
      <w:r w:rsidR="007A795B" w:rsidRPr="00C47716">
        <w:rPr>
          <w:rFonts w:ascii="Open Sans" w:hAnsi="Open Sans" w:cs="Open Sans"/>
          <w:sz w:val="18"/>
          <w:szCs w:val="18"/>
          <w:lang w:val="en-GB"/>
        </w:rPr>
        <w:t>to limit withholding tax.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6117CA" w:rsidRPr="006117CA">
        <w:rPr>
          <w:rFonts w:ascii="Open Sans" w:hAnsi="Open Sans" w:cs="Open Sans"/>
          <w:sz w:val="18"/>
          <w:szCs w:val="18"/>
          <w:lang w:val="en-GB"/>
        </w:rPr>
        <w:t>And the remainder of the withholding tax may, under certain conditions, also be settled by the FBI against the dividend tax on its mandatory dividend payment to the participants.</w:t>
      </w:r>
      <w:r w:rsidR="006117CA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3A27F2" w:rsidRPr="00C47716">
        <w:rPr>
          <w:rFonts w:ascii="Open Sans" w:hAnsi="Open Sans" w:cs="Open Sans"/>
          <w:sz w:val="18"/>
          <w:szCs w:val="18"/>
          <w:lang w:val="en-GB"/>
        </w:rPr>
        <w:t>In this way, the advantages of fund investment</w:t>
      </w:r>
      <w:r w:rsidR="00B150B7" w:rsidRPr="00C47716">
        <w:rPr>
          <w:rFonts w:ascii="Open Sans" w:hAnsi="Open Sans" w:cs="Open Sans"/>
          <w:sz w:val="18"/>
          <w:szCs w:val="18"/>
          <w:lang w:val="en-GB"/>
        </w:rPr>
        <w:t>,</w:t>
      </w:r>
      <w:r w:rsidR="003A27F2" w:rsidRPr="00C47716">
        <w:rPr>
          <w:rFonts w:ascii="Open Sans" w:hAnsi="Open Sans" w:cs="Open Sans"/>
          <w:sz w:val="18"/>
          <w:szCs w:val="18"/>
          <w:lang w:val="en-GB"/>
        </w:rPr>
        <w:t xml:space="preserve"> such as diversified investing, access to investment markets, and professional management, remain intact, while the </w:t>
      </w:r>
      <w:r w:rsidR="00E27DF7" w:rsidRPr="00C47716">
        <w:rPr>
          <w:rFonts w:ascii="Open Sans" w:hAnsi="Open Sans" w:cs="Open Sans"/>
          <w:sz w:val="18"/>
          <w:szCs w:val="18"/>
          <w:lang w:val="en-GB"/>
        </w:rPr>
        <w:t>results</w:t>
      </w:r>
      <w:r w:rsidR="003A27F2" w:rsidRPr="00C47716">
        <w:rPr>
          <w:rFonts w:ascii="Open Sans" w:hAnsi="Open Sans" w:cs="Open Sans"/>
          <w:sz w:val="18"/>
          <w:szCs w:val="18"/>
          <w:lang w:val="en-GB"/>
        </w:rPr>
        <w:t xml:space="preserve"> (returns) for the private investor </w:t>
      </w:r>
      <w:r w:rsidR="00001C90" w:rsidRPr="00C47716">
        <w:rPr>
          <w:rFonts w:ascii="Open Sans" w:hAnsi="Open Sans" w:cs="Open Sans"/>
          <w:sz w:val="18"/>
          <w:szCs w:val="18"/>
          <w:lang w:val="en-GB"/>
        </w:rPr>
        <w:t>are</w:t>
      </w:r>
      <w:r w:rsidR="00B150B7" w:rsidRPr="00C47716">
        <w:rPr>
          <w:rFonts w:ascii="Open Sans" w:hAnsi="Open Sans" w:cs="Open Sans"/>
          <w:sz w:val="18"/>
          <w:szCs w:val="18"/>
          <w:lang w:val="en-GB"/>
        </w:rPr>
        <w:t xml:space="preserve"> equal</w:t>
      </w:r>
      <w:r w:rsidR="003A27F2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001C90" w:rsidRPr="00C47716">
        <w:rPr>
          <w:rFonts w:ascii="Open Sans" w:hAnsi="Open Sans" w:cs="Open Sans"/>
          <w:sz w:val="18"/>
          <w:szCs w:val="18"/>
          <w:lang w:val="en-GB"/>
        </w:rPr>
        <w:t>to when</w:t>
      </w:r>
      <w:r w:rsidR="003A27F2" w:rsidRPr="00C47716">
        <w:rPr>
          <w:rFonts w:ascii="Open Sans" w:hAnsi="Open Sans" w:cs="Open Sans"/>
          <w:sz w:val="18"/>
          <w:szCs w:val="18"/>
          <w:lang w:val="en-GB"/>
        </w:rPr>
        <w:t xml:space="preserve"> investing directly.</w:t>
      </w:r>
    </w:p>
    <w:p w14:paraId="02E01F9B" w14:textId="77777777" w:rsidR="0060778F" w:rsidRPr="00C47716" w:rsidRDefault="0060778F" w:rsidP="0060778F">
      <w:pPr>
        <w:pStyle w:val="Geenafstand"/>
        <w:rPr>
          <w:rFonts w:ascii="Open Sans" w:hAnsi="Open Sans" w:cs="Open Sans"/>
          <w:sz w:val="18"/>
          <w:szCs w:val="18"/>
        </w:rPr>
      </w:pPr>
    </w:p>
    <w:p w14:paraId="6B294264" w14:textId="50C02006" w:rsidR="0060778F" w:rsidRPr="00C47716" w:rsidRDefault="00725ED5" w:rsidP="001F3C71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F</w:t>
      </w:r>
      <w:r w:rsidR="00B150B7" w:rsidRPr="00C47716">
        <w:rPr>
          <w:rFonts w:ascii="Open Sans" w:hAnsi="Open Sans" w:cs="Open Sans"/>
          <w:sz w:val="18"/>
          <w:szCs w:val="18"/>
          <w:lang w:val="en-GB"/>
        </w:rPr>
        <w:t xml:space="preserve">or that reason, </w:t>
      </w:r>
      <w:r w:rsidRPr="00C47716">
        <w:rPr>
          <w:rFonts w:ascii="Open Sans" w:hAnsi="Open Sans" w:cs="Open Sans"/>
          <w:sz w:val="18"/>
          <w:szCs w:val="18"/>
          <w:lang w:val="en-GB"/>
        </w:rPr>
        <w:t>t</w:t>
      </w:r>
      <w:r w:rsidR="00DE3E29" w:rsidRPr="00C47716">
        <w:rPr>
          <w:rFonts w:ascii="Open Sans" w:hAnsi="Open Sans" w:cs="Open Sans"/>
          <w:sz w:val="18"/>
          <w:szCs w:val="18"/>
          <w:lang w:val="en-GB"/>
        </w:rPr>
        <w:t>he FII</w:t>
      </w:r>
      <w:r w:rsidR="00E27DF7" w:rsidRPr="00C47716">
        <w:rPr>
          <w:rFonts w:ascii="Open Sans" w:hAnsi="Open Sans" w:cs="Open Sans"/>
          <w:sz w:val="18"/>
          <w:szCs w:val="18"/>
          <w:lang w:val="en-GB"/>
        </w:rPr>
        <w:t xml:space="preserve"> is also used by institutional investors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>,</w:t>
      </w:r>
      <w:r w:rsidR="00E27DF7" w:rsidRPr="00C47716">
        <w:rPr>
          <w:rFonts w:ascii="Open Sans" w:hAnsi="Open Sans" w:cs="Open Sans"/>
          <w:sz w:val="18"/>
          <w:szCs w:val="18"/>
          <w:lang w:val="en-GB"/>
        </w:rPr>
        <w:t xml:space="preserve"> including insurance companies and pension funds, </w:t>
      </w:r>
      <w:r w:rsidRPr="00C47716">
        <w:rPr>
          <w:rFonts w:ascii="Open Sans" w:hAnsi="Open Sans" w:cs="Open Sans"/>
          <w:sz w:val="18"/>
          <w:szCs w:val="18"/>
          <w:lang w:val="en-GB"/>
        </w:rPr>
        <w:t>when</w:t>
      </w:r>
      <w:r w:rsidR="00E27DF7" w:rsidRPr="00C47716">
        <w:rPr>
          <w:rFonts w:ascii="Open Sans" w:hAnsi="Open Sans" w:cs="Open Sans"/>
          <w:sz w:val="18"/>
          <w:szCs w:val="18"/>
          <w:lang w:val="en-GB"/>
        </w:rPr>
        <w:t xml:space="preserve"> investing assets 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in order </w:t>
      </w:r>
      <w:r w:rsidR="00E27DF7" w:rsidRPr="00C47716">
        <w:rPr>
          <w:rFonts w:ascii="Open Sans" w:hAnsi="Open Sans" w:cs="Open Sans"/>
          <w:sz w:val="18"/>
          <w:szCs w:val="18"/>
          <w:lang w:val="en-GB"/>
        </w:rPr>
        <w:t>to fulfil their obligations towards private persons.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Pr="00C47716">
        <w:rPr>
          <w:rFonts w:ascii="Open Sans" w:hAnsi="Open Sans" w:cs="Open Sans"/>
          <w:sz w:val="18"/>
          <w:szCs w:val="18"/>
          <w:lang w:val="en-GB"/>
        </w:rPr>
        <w:t>Therefore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 xml:space="preserve">, a </w:t>
      </w:r>
      <w:r w:rsidR="003763F4" w:rsidRPr="00C47716">
        <w:rPr>
          <w:rFonts w:ascii="Open Sans" w:hAnsi="Open Sans" w:cs="Open Sans"/>
          <w:sz w:val="18"/>
          <w:szCs w:val="18"/>
          <w:lang w:val="en-GB"/>
        </w:rPr>
        <w:t xml:space="preserve">Dutch 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 xml:space="preserve">corporate tax rate of 0% applies to </w:t>
      </w:r>
      <w:r w:rsidR="00DE3E29" w:rsidRPr="00C47716">
        <w:rPr>
          <w:rFonts w:ascii="Open Sans" w:hAnsi="Open Sans" w:cs="Open Sans"/>
          <w:sz w:val="18"/>
          <w:szCs w:val="18"/>
          <w:lang w:val="en-GB"/>
        </w:rPr>
        <w:t>the FII</w:t>
      </w:r>
      <w:r w:rsidRPr="00C47716">
        <w:rPr>
          <w:rFonts w:ascii="Open Sans" w:hAnsi="Open Sans" w:cs="Open Sans"/>
          <w:sz w:val="18"/>
          <w:szCs w:val="18"/>
          <w:lang w:val="en-GB"/>
        </w:rPr>
        <w:t>,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C47716">
        <w:rPr>
          <w:rFonts w:ascii="Open Sans" w:hAnsi="Open Sans" w:cs="Open Sans"/>
          <w:sz w:val="18"/>
          <w:szCs w:val="18"/>
          <w:lang w:val="en-GB"/>
        </w:rPr>
        <w:t>and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 xml:space="preserve"> deferral of taxation is prevented by the requirement that 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every year </w:t>
      </w:r>
      <w:r w:rsidR="00B45AAC" w:rsidRPr="00C47716">
        <w:rPr>
          <w:rFonts w:ascii="Open Sans" w:hAnsi="Open Sans" w:cs="Open Sans"/>
          <w:sz w:val="18"/>
          <w:szCs w:val="18"/>
          <w:lang w:val="en-GB"/>
        </w:rPr>
        <w:t xml:space="preserve">the 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>taxable profit</w:t>
      </w:r>
      <w:r w:rsidR="00735F00" w:rsidRPr="00C47716">
        <w:rPr>
          <w:rFonts w:ascii="Open Sans" w:hAnsi="Open Sans" w:cs="Open Sans"/>
          <w:sz w:val="18"/>
          <w:szCs w:val="18"/>
          <w:lang w:val="en-GB"/>
        </w:rPr>
        <w:t>s are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B45AAC" w:rsidRPr="00C47716">
        <w:rPr>
          <w:rFonts w:ascii="Open Sans" w:hAnsi="Open Sans" w:cs="Open Sans"/>
          <w:sz w:val="18"/>
          <w:szCs w:val="18"/>
          <w:lang w:val="en-GB"/>
        </w:rPr>
        <w:t>distributed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F0339E" w:rsidRPr="00C47716">
        <w:rPr>
          <w:rFonts w:ascii="Open Sans" w:hAnsi="Open Sans" w:cs="Open Sans"/>
          <w:sz w:val="18"/>
          <w:szCs w:val="18"/>
          <w:lang w:val="en-GB"/>
        </w:rPr>
        <w:t xml:space="preserve">to participants </w:t>
      </w:r>
      <w:r w:rsidR="00B45AAC" w:rsidRPr="00C47716">
        <w:rPr>
          <w:rFonts w:ascii="Open Sans" w:hAnsi="Open Sans" w:cs="Open Sans"/>
          <w:sz w:val="18"/>
          <w:szCs w:val="18"/>
          <w:lang w:val="en-GB"/>
        </w:rPr>
        <w:t>as a taxed dividend</w:t>
      </w:r>
      <w:r w:rsidR="006B760C" w:rsidRPr="00C47716">
        <w:rPr>
          <w:rFonts w:ascii="Open Sans" w:hAnsi="Open Sans" w:cs="Open Sans"/>
          <w:sz w:val="18"/>
          <w:szCs w:val="18"/>
          <w:lang w:val="en-GB"/>
        </w:rPr>
        <w:t>.</w:t>
      </w:r>
      <w:r w:rsidR="0060778F" w:rsidRPr="00C47716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28E4E24E" w14:textId="77777777" w:rsidR="0060778F" w:rsidRPr="00C47716" w:rsidRDefault="0060778F" w:rsidP="0060778F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</w:p>
    <w:p w14:paraId="6FCA8AFF" w14:textId="54E87807" w:rsidR="0060778F" w:rsidRPr="00C47716" w:rsidRDefault="00F14D71" w:rsidP="0045256A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  <w:r w:rsidRPr="00C47716">
        <w:rPr>
          <w:rFonts w:ascii="Open Sans" w:hAnsi="Open Sans" w:cs="Open Sans"/>
          <w:b/>
          <w:bCs/>
          <w:sz w:val="18"/>
          <w:szCs w:val="18"/>
          <w:lang w:val="en-GB"/>
        </w:rPr>
        <w:t>Particularly relevant now</w:t>
      </w:r>
    </w:p>
    <w:p w14:paraId="48434F79" w14:textId="196FB2A7" w:rsidR="0060778F" w:rsidRPr="00C47716" w:rsidRDefault="00735F00" w:rsidP="008A468D">
      <w:pPr>
        <w:pStyle w:val="Geenafstand"/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 xml:space="preserve">Launched with the introduction of the </w:t>
      </w:r>
      <w:r w:rsidR="008A468D" w:rsidRPr="00C47716">
        <w:rPr>
          <w:rFonts w:ascii="Open Sans" w:hAnsi="Open Sans" w:cs="Open Sans"/>
          <w:sz w:val="18"/>
          <w:szCs w:val="18"/>
          <w:lang w:val="en-GB"/>
        </w:rPr>
        <w:t xml:space="preserve">Dutch Corporate Income Tax Act </w:t>
      </w:r>
      <w:r w:rsidR="0045256A" w:rsidRPr="00C47716">
        <w:rPr>
          <w:rFonts w:ascii="Open Sans" w:hAnsi="Open Sans" w:cs="Open Sans"/>
          <w:sz w:val="18"/>
          <w:szCs w:val="18"/>
          <w:lang w:val="en-GB"/>
        </w:rPr>
        <w:t>[</w:t>
      </w:r>
      <w:r w:rsidR="0045256A" w:rsidRPr="00C47716">
        <w:rPr>
          <w:rFonts w:ascii="Open Sans" w:hAnsi="Open Sans" w:cs="Open Sans"/>
          <w:i/>
          <w:iCs/>
          <w:sz w:val="18"/>
          <w:szCs w:val="18"/>
          <w:lang w:val="en-GB"/>
        </w:rPr>
        <w:t>Wet op de vennootschapsbelasting</w:t>
      </w:r>
      <w:r w:rsidR="008A468D" w:rsidRPr="00C47716">
        <w:rPr>
          <w:rFonts w:ascii="Open Sans" w:hAnsi="Open Sans" w:cs="Open Sans"/>
          <w:sz w:val="18"/>
          <w:szCs w:val="18"/>
          <w:lang w:val="en-GB"/>
        </w:rPr>
        <w:t>, abbreviated to Wet VPB</w:t>
      </w:r>
      <w:r w:rsidR="0045256A" w:rsidRPr="00C47716">
        <w:rPr>
          <w:rFonts w:ascii="Open Sans" w:hAnsi="Open Sans" w:cs="Open Sans"/>
          <w:sz w:val="18"/>
          <w:szCs w:val="18"/>
          <w:lang w:val="en-GB"/>
        </w:rPr>
        <w:t xml:space="preserve">] 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>in 1969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, </w:t>
      </w:r>
      <w:r w:rsidR="00DE3E29" w:rsidRPr="00C47716">
        <w:rPr>
          <w:rFonts w:ascii="Open Sans" w:hAnsi="Open Sans" w:cs="Open Sans"/>
          <w:sz w:val="18"/>
          <w:szCs w:val="18"/>
          <w:lang w:val="en-GB"/>
        </w:rPr>
        <w:t>the FII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F94E5A" w:rsidRPr="00C47716">
        <w:rPr>
          <w:rFonts w:ascii="Open Sans" w:hAnsi="Open Sans" w:cs="Open Sans"/>
          <w:sz w:val="18"/>
          <w:szCs w:val="18"/>
          <w:lang w:val="en-GB"/>
        </w:rPr>
        <w:t>aimed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 xml:space="preserve"> to make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 safe and diversified invest</w:t>
      </w:r>
      <w:r w:rsidR="00B45AAC" w:rsidRPr="00C47716">
        <w:rPr>
          <w:rFonts w:ascii="Open Sans" w:hAnsi="Open Sans" w:cs="Open Sans"/>
          <w:sz w:val="18"/>
          <w:szCs w:val="18"/>
          <w:lang w:val="en-GB"/>
        </w:rPr>
        <w:t>ing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 through a fund 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 xml:space="preserve">together 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with other investors attractive </w:t>
      </w:r>
      <w:r w:rsidR="00A81E7C" w:rsidRPr="00C47716">
        <w:rPr>
          <w:rFonts w:ascii="Open Sans" w:hAnsi="Open Sans" w:cs="Open Sans"/>
          <w:sz w:val="18"/>
          <w:szCs w:val="18"/>
          <w:lang w:val="en-GB"/>
        </w:rPr>
        <w:t xml:space="preserve">and accessible </w:t>
      </w:r>
      <w:r w:rsidR="00F94E5A" w:rsidRPr="00C47716">
        <w:rPr>
          <w:rFonts w:ascii="Open Sans" w:hAnsi="Open Sans" w:cs="Open Sans"/>
          <w:sz w:val="18"/>
          <w:szCs w:val="18"/>
          <w:lang w:val="en-GB"/>
        </w:rPr>
        <w:t>to</w:t>
      </w:r>
      <w:r w:rsidRPr="00C47716">
        <w:rPr>
          <w:rFonts w:ascii="Open Sans" w:hAnsi="Open Sans" w:cs="Open Sans"/>
          <w:sz w:val="18"/>
          <w:szCs w:val="18"/>
          <w:lang w:val="en-GB"/>
        </w:rPr>
        <w:t xml:space="preserve"> small savers</w:t>
      </w:r>
      <w:r w:rsidR="0080266B" w:rsidRPr="00C47716">
        <w:rPr>
          <w:rFonts w:ascii="Open Sans" w:hAnsi="Open Sans" w:cs="Open Sans"/>
          <w:sz w:val="18"/>
          <w:szCs w:val="18"/>
          <w:lang w:val="en-GB"/>
        </w:rPr>
        <w:t xml:space="preserve"> as well</w:t>
      </w:r>
      <w:r w:rsidRPr="00C47716">
        <w:rPr>
          <w:rFonts w:ascii="Open Sans" w:hAnsi="Open Sans" w:cs="Open Sans"/>
          <w:sz w:val="18"/>
          <w:szCs w:val="18"/>
          <w:lang w:val="en-GB"/>
        </w:rPr>
        <w:t>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>However, the world</w:t>
      </w:r>
      <w:r w:rsidR="00A81E7C" w:rsidRPr="00C47716">
        <w:rPr>
          <w:rFonts w:ascii="Open Sans" w:hAnsi="Open Sans" w:cs="Open Sans"/>
          <w:sz w:val="18"/>
          <w:szCs w:val="18"/>
          <w:lang w:val="en-GB"/>
        </w:rPr>
        <w:t xml:space="preserve"> -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 xml:space="preserve"> including the world of taxation</w:t>
      </w:r>
      <w:r w:rsidR="00A81E7C" w:rsidRPr="00C47716">
        <w:rPr>
          <w:rFonts w:ascii="Open Sans" w:hAnsi="Open Sans" w:cs="Open Sans"/>
          <w:sz w:val="18"/>
          <w:szCs w:val="18"/>
          <w:lang w:val="en-GB"/>
        </w:rPr>
        <w:t xml:space="preserve"> -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 xml:space="preserve"> has undergone significant change</w:t>
      </w:r>
      <w:r w:rsidR="00933EC5" w:rsidRPr="00C47716">
        <w:rPr>
          <w:rFonts w:ascii="Open Sans" w:hAnsi="Open Sans" w:cs="Open Sans"/>
          <w:sz w:val="18"/>
          <w:szCs w:val="18"/>
          <w:lang w:val="en-GB"/>
        </w:rPr>
        <w:t>s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 xml:space="preserve"> since 1969,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 xml:space="preserve">with amending laws and regulations being introduced </w:t>
      </w:r>
      <w:r w:rsidR="0051195D" w:rsidRPr="00C47716">
        <w:rPr>
          <w:rFonts w:ascii="Open Sans" w:hAnsi="Open Sans" w:cs="Open Sans"/>
          <w:sz w:val="18"/>
          <w:szCs w:val="18"/>
          <w:lang w:val="en-GB"/>
        </w:rPr>
        <w:t>annually</w:t>
      </w:r>
      <w:r w:rsidR="00B5744B" w:rsidRPr="00C47716">
        <w:rPr>
          <w:rFonts w:ascii="Open Sans" w:hAnsi="Open Sans" w:cs="Open Sans"/>
          <w:sz w:val="18"/>
          <w:szCs w:val="18"/>
          <w:lang w:val="en-GB"/>
        </w:rPr>
        <w:t>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</w:p>
    <w:p w14:paraId="594CB217" w14:textId="77777777" w:rsidR="0060778F" w:rsidRPr="00C47716" w:rsidRDefault="0060778F" w:rsidP="0060778F">
      <w:pPr>
        <w:pStyle w:val="Geenafstand"/>
        <w:rPr>
          <w:rFonts w:ascii="Open Sans" w:hAnsi="Open Sans" w:cs="Open Sans"/>
          <w:sz w:val="18"/>
          <w:szCs w:val="18"/>
        </w:rPr>
      </w:pPr>
    </w:p>
    <w:p w14:paraId="6E591417" w14:textId="6D78360F" w:rsidR="0060778F" w:rsidRPr="00C47716" w:rsidRDefault="00B5744B" w:rsidP="00242361">
      <w:pPr>
        <w:pStyle w:val="Geenafstand"/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Dutch investment institutions have played a major role in society over the past 50 years,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>mainly manag</w:t>
      </w:r>
      <w:r w:rsidR="00C74FFE" w:rsidRPr="00C47716">
        <w:rPr>
          <w:rFonts w:ascii="Open Sans" w:hAnsi="Open Sans" w:cs="Open Sans"/>
          <w:sz w:val="18"/>
          <w:szCs w:val="18"/>
          <w:lang w:val="en-GB"/>
        </w:rPr>
        <w:t>ing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assets that Dutch people </w:t>
      </w:r>
      <w:r w:rsidR="00E12101" w:rsidRPr="00C47716">
        <w:rPr>
          <w:rFonts w:ascii="Open Sans" w:hAnsi="Open Sans" w:cs="Open Sans"/>
          <w:sz w:val="18"/>
          <w:szCs w:val="18"/>
          <w:lang w:val="en-GB"/>
        </w:rPr>
        <w:t xml:space="preserve">will 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>need in the future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,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on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reach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ing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their retirement age. As the majority of these institutions consist of Dutch retail-investment funds with an F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I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I status, they </w:t>
      </w:r>
      <w:r w:rsidR="00E12101" w:rsidRPr="00C47716">
        <w:rPr>
          <w:rFonts w:ascii="Open Sans" w:hAnsi="Open Sans" w:cs="Open Sans"/>
          <w:sz w:val="18"/>
          <w:szCs w:val="18"/>
          <w:lang w:val="en-GB"/>
        </w:rPr>
        <w:t xml:space="preserve">have 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enabled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Dutch private persons to 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 xml:space="preserve">make 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>invest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ments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in a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 xml:space="preserve">n </w:t>
      </w:r>
      <w:r w:rsidR="00765D00" w:rsidRPr="00C47716">
        <w:rPr>
          <w:rFonts w:ascii="Open Sans" w:hAnsi="Open Sans" w:cs="Open Sans"/>
          <w:sz w:val="18"/>
          <w:szCs w:val="18"/>
          <w:lang w:val="en-GB"/>
        </w:rPr>
        <w:t>accessible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>, diversified and cost-effective manner, in line with the original basic principle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s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of 1969.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DE3E29" w:rsidRPr="00C47716">
        <w:rPr>
          <w:rFonts w:ascii="Open Sans" w:hAnsi="Open Sans" w:cs="Open Sans"/>
          <w:sz w:val="18"/>
          <w:szCs w:val="18"/>
          <w:lang w:val="en-GB"/>
        </w:rPr>
        <w:t>The FII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 xml:space="preserve">is </w:t>
      </w:r>
      <w:r w:rsidR="00765D00" w:rsidRPr="00C47716">
        <w:rPr>
          <w:rFonts w:ascii="Open Sans" w:hAnsi="Open Sans" w:cs="Open Sans"/>
          <w:sz w:val="18"/>
          <w:szCs w:val="18"/>
          <w:lang w:val="en-GB"/>
        </w:rPr>
        <w:t>in keeping with the present climate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>, in which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the European Committee 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>calls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for stimulating people to </w:t>
      </w:r>
      <w:r w:rsidR="008218C5" w:rsidRPr="00C47716">
        <w:rPr>
          <w:rFonts w:ascii="Open Sans" w:hAnsi="Open Sans" w:cs="Open Sans"/>
          <w:sz w:val="18"/>
          <w:szCs w:val="18"/>
          <w:lang w:val="en-GB"/>
        </w:rPr>
        <w:t>turn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B02F69" w:rsidRPr="00C47716">
        <w:rPr>
          <w:rFonts w:ascii="Open Sans" w:hAnsi="Open Sans" w:cs="Open Sans"/>
          <w:sz w:val="18"/>
          <w:szCs w:val="18"/>
          <w:lang w:val="en-GB"/>
        </w:rPr>
        <w:t>direct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savings to the capital market, which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>,</w:t>
      </w:r>
      <w:r w:rsidR="00901B89" w:rsidRPr="00C47716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922EC2" w:rsidRPr="00C47716">
        <w:rPr>
          <w:rFonts w:ascii="Open Sans" w:hAnsi="Open Sans" w:cs="Open Sans"/>
          <w:sz w:val="18"/>
          <w:szCs w:val="18"/>
          <w:lang w:val="en-GB"/>
        </w:rPr>
        <w:t>i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 xml:space="preserve">n this respect, </w:t>
      </w:r>
      <w:r w:rsidR="00922EC2" w:rsidRPr="00C47716">
        <w:rPr>
          <w:rFonts w:ascii="Open Sans" w:hAnsi="Open Sans" w:cs="Open Sans"/>
          <w:sz w:val="18"/>
          <w:szCs w:val="18"/>
          <w:lang w:val="en-GB"/>
        </w:rPr>
        <w:t>is synonymous to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 xml:space="preserve"> ‘long-term investment</w:t>
      </w:r>
      <w:r w:rsidR="00B02F69" w:rsidRPr="00C47716">
        <w:rPr>
          <w:rFonts w:ascii="Open Sans" w:hAnsi="Open Sans" w:cs="Open Sans"/>
          <w:sz w:val="18"/>
          <w:szCs w:val="18"/>
          <w:lang w:val="en-GB"/>
        </w:rPr>
        <w:t>’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>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 xml:space="preserve">In this </w:t>
      </w:r>
      <w:r w:rsidR="00922EC2" w:rsidRPr="00C47716">
        <w:rPr>
          <w:rFonts w:ascii="Open Sans" w:hAnsi="Open Sans" w:cs="Open Sans"/>
          <w:sz w:val="18"/>
          <w:szCs w:val="18"/>
          <w:lang w:val="en-GB"/>
        </w:rPr>
        <w:t>time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t xml:space="preserve"> of low interest rates and high inflation, many people need to make </w:t>
      </w:r>
      <w:r w:rsidR="00F22308" w:rsidRPr="00C47716">
        <w:rPr>
          <w:rFonts w:ascii="Open Sans" w:hAnsi="Open Sans" w:cs="Open Sans"/>
          <w:sz w:val="18"/>
          <w:szCs w:val="18"/>
          <w:lang w:val="en-GB"/>
        </w:rPr>
        <w:lastRenderedPageBreak/>
        <w:t xml:space="preserve">their assets grow through long-term investment solutions. 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 xml:space="preserve">Pension fund participants as well as insured </w:t>
      </w:r>
      <w:r w:rsidR="004C50D2" w:rsidRPr="00C47716">
        <w:rPr>
          <w:rFonts w:ascii="Open Sans" w:hAnsi="Open Sans" w:cs="Open Sans"/>
          <w:sz w:val="18"/>
          <w:szCs w:val="18"/>
          <w:lang w:val="en-GB"/>
        </w:rPr>
        <w:t>persons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 xml:space="preserve"> and retail investors </w:t>
      </w:r>
      <w:r w:rsidR="00697066" w:rsidRPr="00C47716">
        <w:rPr>
          <w:rFonts w:ascii="Open Sans" w:hAnsi="Open Sans" w:cs="Open Sans"/>
          <w:sz w:val="18"/>
          <w:szCs w:val="18"/>
          <w:lang w:val="en-GB"/>
        </w:rPr>
        <w:t>stand to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 xml:space="preserve"> benefit from </w:t>
      </w:r>
      <w:r w:rsidR="00DE3E29" w:rsidRPr="00C47716">
        <w:rPr>
          <w:rFonts w:ascii="Open Sans" w:hAnsi="Open Sans" w:cs="Open Sans"/>
          <w:sz w:val="18"/>
          <w:szCs w:val="18"/>
          <w:lang w:val="en-GB"/>
        </w:rPr>
        <w:t>the FII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>’s success.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>F</w:t>
      </w:r>
      <w:r w:rsidR="00922EC2" w:rsidRPr="00C47716">
        <w:rPr>
          <w:rFonts w:ascii="Open Sans" w:hAnsi="Open Sans" w:cs="Open Sans"/>
          <w:sz w:val="18"/>
          <w:szCs w:val="18"/>
          <w:lang w:val="en-GB"/>
        </w:rPr>
        <w:t>I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>I investment funds meet this need because they enable people to invest in a diversified and cost-effective manner through an F</w:t>
      </w:r>
      <w:r w:rsidR="00922EC2" w:rsidRPr="00C47716">
        <w:rPr>
          <w:rFonts w:ascii="Open Sans" w:hAnsi="Open Sans" w:cs="Open Sans"/>
          <w:sz w:val="18"/>
          <w:szCs w:val="18"/>
          <w:lang w:val="en-GB"/>
        </w:rPr>
        <w:t>I</w:t>
      </w:r>
      <w:r w:rsidR="00C04D6B" w:rsidRPr="00C47716">
        <w:rPr>
          <w:rFonts w:ascii="Open Sans" w:hAnsi="Open Sans" w:cs="Open Sans"/>
          <w:sz w:val="18"/>
          <w:szCs w:val="18"/>
          <w:lang w:val="en-GB"/>
        </w:rPr>
        <w:t>I.</w:t>
      </w:r>
      <w:r w:rsidR="0060778F" w:rsidRPr="00C47716">
        <w:rPr>
          <w:rFonts w:ascii="Open Sans" w:hAnsi="Open Sans" w:cs="Open Sans"/>
          <w:sz w:val="18"/>
          <w:szCs w:val="18"/>
        </w:rPr>
        <w:t xml:space="preserve"> </w:t>
      </w:r>
    </w:p>
    <w:p w14:paraId="616C8B2F" w14:textId="77777777" w:rsidR="00EB60D0" w:rsidRPr="00C47716" w:rsidRDefault="00EB60D0" w:rsidP="00F47C5C">
      <w:pPr>
        <w:pStyle w:val="Geenafstand"/>
        <w:rPr>
          <w:rFonts w:ascii="Open Sans" w:hAnsi="Open Sans" w:cs="Open Sans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DBE" w:rsidRPr="00C47716" w14:paraId="77E30A58" w14:textId="77777777" w:rsidTr="00242361">
        <w:tc>
          <w:tcPr>
            <w:tcW w:w="9062" w:type="dxa"/>
          </w:tcPr>
          <w:p w14:paraId="3223C1F8" w14:textId="77777777" w:rsidR="00686C44" w:rsidRPr="00C47716" w:rsidRDefault="00686C44" w:rsidP="00686C44">
            <w:pPr>
              <w:pStyle w:val="Geenafstand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9446FFE" w14:textId="5ABAB844" w:rsidR="00DB0DBE" w:rsidRPr="00C47716" w:rsidRDefault="00DE3E29" w:rsidP="00242361">
            <w:pPr>
              <w:pStyle w:val="Geenafstand"/>
              <w:rPr>
                <w:rFonts w:ascii="Open Sans" w:eastAsia="Calibri" w:hAnsi="Open Sans" w:cs="Open Sans"/>
                <w:sz w:val="18"/>
                <w:szCs w:val="18"/>
              </w:rPr>
            </w:pPr>
            <w:r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The FII</w:t>
            </w:r>
            <w:r w:rsidR="00C04D6B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 offers no advantages for the fund houses </w:t>
            </w:r>
            <w:r w:rsidR="00922EC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as such</w:t>
            </w:r>
            <w:r w:rsidR="00C04D6B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.</w:t>
            </w:r>
            <w:r w:rsidR="00686C44" w:rsidRPr="00C4771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="001B058E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The participants in the investment fund are the only ones who benefit from this fiscal regime</w:t>
            </w:r>
            <w:r w:rsidR="00686C44" w:rsidRPr="00C4771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="00AE0D4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b</w:t>
            </w:r>
            <w:r w:rsidR="001B058E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ecause they have a higher return</w:t>
            </w:r>
            <w:r w:rsidR="00AE0D4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 </w:t>
            </w:r>
            <w:r w:rsidR="00922EC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as a result of the</w:t>
            </w:r>
            <w:r w:rsidR="00AE0D4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 lower costs</w:t>
            </w:r>
            <w:r w:rsidR="001B058E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. </w:t>
            </w:r>
            <w:r w:rsidR="00AE0D4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Dutch F</w:t>
            </w:r>
            <w:r w:rsidR="00922EC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I</w:t>
            </w:r>
            <w:r w:rsidR="00AE0D4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I investment funds are therefore </w:t>
            </w:r>
            <w:r w:rsidR="00922EC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much</w:t>
            </w:r>
            <w:r w:rsidR="00AE0D42" w:rsidRPr="00C47716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 more attractive to Dutch investors than foreign ones.</w:t>
            </w:r>
          </w:p>
          <w:p w14:paraId="229CE3FC" w14:textId="372ECB92" w:rsidR="00686C44" w:rsidRPr="00C47716" w:rsidRDefault="00686C44" w:rsidP="00686C44">
            <w:pPr>
              <w:pStyle w:val="Geenafstand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BD485E8" w14:textId="77777777" w:rsidR="00112D5B" w:rsidRPr="00C47716" w:rsidRDefault="00112D5B" w:rsidP="00B9310A">
      <w:pPr>
        <w:pStyle w:val="Geenafstand"/>
        <w:rPr>
          <w:rFonts w:ascii="Open Sans" w:eastAsia="Calibri" w:hAnsi="Open Sans" w:cs="Open Sans"/>
          <w:sz w:val="18"/>
          <w:szCs w:val="18"/>
        </w:rPr>
      </w:pPr>
    </w:p>
    <w:p w14:paraId="6BCB4CD1" w14:textId="77777777" w:rsidR="008F5E46" w:rsidRPr="00C47716" w:rsidRDefault="008F5E46" w:rsidP="008F5E46">
      <w:pPr>
        <w:pStyle w:val="Geenafstand"/>
        <w:rPr>
          <w:rFonts w:ascii="Open Sans" w:eastAsia="Calibri" w:hAnsi="Open Sans" w:cs="Open Sans"/>
          <w:sz w:val="18"/>
          <w:szCs w:val="18"/>
        </w:rPr>
      </w:pPr>
    </w:p>
    <w:p w14:paraId="714EEF8D" w14:textId="77D6236E" w:rsidR="008F5E46" w:rsidRPr="00C47716" w:rsidRDefault="008F5E46" w:rsidP="008F5E46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  <w:r w:rsidRPr="00C47716">
        <w:rPr>
          <w:rFonts w:ascii="Open Sans" w:hAnsi="Open Sans" w:cs="Open Sans"/>
          <w:b/>
          <w:bCs/>
          <w:sz w:val="18"/>
          <w:szCs w:val="18"/>
          <w:lang w:val="en-GB"/>
        </w:rPr>
        <w:t>Sources</w:t>
      </w:r>
    </w:p>
    <w:p w14:paraId="63D3A0A9" w14:textId="6906F7DC" w:rsidR="008F5E46" w:rsidRPr="00C47716" w:rsidRDefault="008A468D" w:rsidP="008A468D">
      <w:pPr>
        <w:pStyle w:val="Geenafstand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Article 28, Dutch Corporate Income Tax Act 1969</w:t>
      </w:r>
    </w:p>
    <w:p w14:paraId="125F9775" w14:textId="5E9B751A" w:rsidR="008A468D" w:rsidRPr="00C47716" w:rsidRDefault="008A468D" w:rsidP="008A468D">
      <w:pPr>
        <w:pStyle w:val="Geenafstand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Article 6A, Dutch Corporate Income Tax Act 2007</w:t>
      </w:r>
    </w:p>
    <w:p w14:paraId="75F38816" w14:textId="50B892B3" w:rsidR="008A468D" w:rsidRPr="00C47716" w:rsidRDefault="008A468D" w:rsidP="008A468D">
      <w:pPr>
        <w:pStyle w:val="Geenafstand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The website of the Dutch tax authorities</w:t>
      </w:r>
    </w:p>
    <w:p w14:paraId="3AF6822E" w14:textId="73AD9FA0" w:rsidR="008A468D" w:rsidRPr="00C47716" w:rsidRDefault="008A468D" w:rsidP="008A468D">
      <w:pPr>
        <w:pStyle w:val="Geenafstand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C47716">
        <w:rPr>
          <w:rFonts w:ascii="Open Sans" w:hAnsi="Open Sans" w:cs="Open Sans"/>
          <w:sz w:val="18"/>
          <w:szCs w:val="18"/>
          <w:lang w:val="en-GB"/>
        </w:rPr>
        <w:t>Various articles through desk research</w:t>
      </w:r>
    </w:p>
    <w:p w14:paraId="70E78771" w14:textId="77777777" w:rsidR="00112D5B" w:rsidRPr="00C47716" w:rsidRDefault="00112D5B" w:rsidP="00B9310A">
      <w:pPr>
        <w:pStyle w:val="Geenafstand"/>
        <w:rPr>
          <w:rFonts w:ascii="Open Sans" w:eastAsia="Calibri" w:hAnsi="Open Sans" w:cs="Open Sans"/>
          <w:sz w:val="18"/>
          <w:szCs w:val="18"/>
        </w:rPr>
      </w:pPr>
    </w:p>
    <w:p w14:paraId="5326D346" w14:textId="609290B3" w:rsidR="00DB0DBE" w:rsidRPr="00C47716" w:rsidRDefault="006B65E3" w:rsidP="00242361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  <w:r w:rsidRPr="00C47716">
        <w:rPr>
          <w:rFonts w:ascii="Open Sans" w:hAnsi="Open Sans" w:cs="Open Sans"/>
          <w:b/>
          <w:bCs/>
          <w:sz w:val="18"/>
          <w:szCs w:val="18"/>
          <w:lang w:val="en-GB"/>
        </w:rPr>
        <w:t>Disclaimer</w:t>
      </w:r>
    </w:p>
    <w:p w14:paraId="1383FC8C" w14:textId="01F812CC" w:rsidR="00DB0DBE" w:rsidRDefault="006B65E3" w:rsidP="006E6467">
      <w:pPr>
        <w:pStyle w:val="Geenafstand"/>
      </w:pP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This article is intended as a concise overview of </w:t>
      </w:r>
      <w:r w:rsidR="00DE3E29" w:rsidRPr="00C47716">
        <w:rPr>
          <w:rFonts w:ascii="Open Sans" w:hAnsi="Open Sans" w:cs="Open Sans"/>
          <w:i/>
          <w:iCs/>
          <w:sz w:val="18"/>
          <w:szCs w:val="18"/>
          <w:lang w:val="en-GB"/>
        </w:rPr>
        <w:t>the FII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s that invest 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in 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securities </w:t>
      </w:r>
      <w:r w:rsidR="00242361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[‘effecten-FBI’], 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>and does not purport to be complete in terms of fiscal or legal matters.</w:t>
      </w:r>
      <w:r w:rsidR="00DB0DBE" w:rsidRPr="00C47716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6E646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This 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>article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</w:t>
      </w:r>
      <w:r w:rsidR="006E6467" w:rsidRPr="00C47716">
        <w:rPr>
          <w:rFonts w:ascii="Open Sans" w:hAnsi="Open Sans" w:cs="Open Sans"/>
          <w:i/>
          <w:iCs/>
          <w:sz w:val="18"/>
          <w:szCs w:val="18"/>
          <w:lang w:val="en-GB"/>
        </w:rPr>
        <w:t>confines itself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to 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>F</w:t>
      </w:r>
      <w:r w:rsidR="00C860B2" w:rsidRPr="00C47716">
        <w:rPr>
          <w:rFonts w:ascii="Open Sans" w:hAnsi="Open Sans" w:cs="Open Sans"/>
          <w:i/>
          <w:iCs/>
          <w:sz w:val="18"/>
          <w:szCs w:val="18"/>
          <w:lang w:val="en-GB"/>
        </w:rPr>
        <w:t>I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Is that invest in securities 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and 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>largely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excludes the real-estate F</w:t>
      </w:r>
      <w:r w:rsidR="00C860B2" w:rsidRPr="00C47716">
        <w:rPr>
          <w:rFonts w:ascii="Open Sans" w:hAnsi="Open Sans" w:cs="Open Sans"/>
          <w:i/>
          <w:iCs/>
          <w:sz w:val="18"/>
          <w:szCs w:val="18"/>
          <w:lang w:val="en-GB"/>
        </w:rPr>
        <w:t>I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>I</w:t>
      </w:r>
      <w:r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, the </w:t>
      </w:r>
      <w:r w:rsidR="003C0750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Dutch </w:t>
      </w:r>
      <w:r w:rsidR="00242361" w:rsidRPr="00C47716">
        <w:rPr>
          <w:rFonts w:ascii="Open Sans" w:hAnsi="Open Sans" w:cs="Open Sans"/>
          <w:i/>
          <w:iCs/>
          <w:sz w:val="18"/>
          <w:szCs w:val="18"/>
          <w:lang w:val="en-GB"/>
        </w:rPr>
        <w:t>tax</w:t>
      </w:r>
      <w:r w:rsidR="003C0750" w:rsidRPr="00C47716">
        <w:rPr>
          <w:rFonts w:ascii="Open Sans" w:hAnsi="Open Sans" w:cs="Open Sans"/>
          <w:i/>
          <w:iCs/>
          <w:sz w:val="18"/>
          <w:szCs w:val="18"/>
          <w:lang w:val="en-GB"/>
        </w:rPr>
        <w:t>-</w:t>
      </w:r>
      <w:r w:rsidR="00242361" w:rsidRPr="00C47716">
        <w:rPr>
          <w:rFonts w:ascii="Open Sans" w:hAnsi="Open Sans" w:cs="Open Sans"/>
          <w:i/>
          <w:iCs/>
          <w:sz w:val="18"/>
          <w:szCs w:val="18"/>
          <w:lang w:val="en-GB"/>
        </w:rPr>
        <w:t>exempt investment institution [‘vrijgestelde beleggingsinstelling’, abbreviated to VBI]</w:t>
      </w:r>
      <w:r w:rsidR="00C80A25" w:rsidRPr="00C47716">
        <w:rPr>
          <w:rFonts w:ascii="Open Sans" w:hAnsi="Open Sans" w:cs="Open Sans"/>
          <w:i/>
          <w:iCs/>
          <w:sz w:val="18"/>
          <w:szCs w:val="18"/>
          <w:lang w:val="en-GB"/>
        </w:rPr>
        <w:t>,</w:t>
      </w:r>
      <w:r w:rsidR="00020CCA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the </w:t>
      </w:r>
      <w:r w:rsidR="00F64CD2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Fund for Mutual Account </w:t>
      </w:r>
      <w:r w:rsidR="00242361" w:rsidRPr="00C47716">
        <w:rPr>
          <w:rFonts w:ascii="Open Sans" w:hAnsi="Open Sans" w:cs="Open Sans"/>
          <w:i/>
          <w:iCs/>
          <w:sz w:val="18"/>
          <w:szCs w:val="18"/>
          <w:lang w:val="en-GB"/>
        </w:rPr>
        <w:t>(‘fonds voor gemene rekening’, abbreviated to FGR)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, and </w:t>
      </w:r>
      <w:r w:rsidR="00C860B2" w:rsidRPr="00C47716">
        <w:rPr>
          <w:rFonts w:ascii="Open Sans" w:hAnsi="Open Sans" w:cs="Open Sans"/>
          <w:i/>
          <w:iCs/>
          <w:sz w:val="18"/>
          <w:szCs w:val="18"/>
          <w:lang w:val="en-GB"/>
        </w:rPr>
        <w:t>tax-t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ransparent </w:t>
      </w:r>
      <w:r w:rsidR="00C860B2" w:rsidRPr="00C47716">
        <w:rPr>
          <w:rFonts w:ascii="Open Sans" w:hAnsi="Open Sans" w:cs="Open Sans"/>
          <w:i/>
          <w:iCs/>
          <w:sz w:val="18"/>
          <w:szCs w:val="18"/>
          <w:lang w:val="en-GB"/>
        </w:rPr>
        <w:t>entities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>.</w:t>
      </w:r>
      <w:r w:rsidR="00DB0DBE" w:rsidRPr="00C47716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This article does not </w:t>
      </w:r>
      <w:r w:rsidR="00952BCC" w:rsidRPr="00C47716">
        <w:rPr>
          <w:rFonts w:ascii="Open Sans" w:hAnsi="Open Sans" w:cs="Open Sans"/>
          <w:i/>
          <w:iCs/>
          <w:sz w:val="18"/>
          <w:szCs w:val="18"/>
          <w:lang w:val="en-GB"/>
        </w:rPr>
        <w:t>address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F</w:t>
      </w:r>
      <w:r w:rsidR="00C860B2" w:rsidRPr="00C47716">
        <w:rPr>
          <w:rFonts w:ascii="Open Sans" w:hAnsi="Open Sans" w:cs="Open Sans"/>
          <w:i/>
          <w:iCs/>
          <w:sz w:val="18"/>
          <w:szCs w:val="18"/>
          <w:lang w:val="en-GB"/>
        </w:rPr>
        <w:t>I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>Is domiciled in the Netherlands with foreign investors</w:t>
      </w:r>
      <w:r w:rsidR="00C80A25" w:rsidRPr="00C47716">
        <w:rPr>
          <w:rFonts w:ascii="Open Sans" w:hAnsi="Open Sans" w:cs="Open Sans"/>
          <w:i/>
          <w:iCs/>
          <w:sz w:val="18"/>
          <w:szCs w:val="18"/>
          <w:lang w:val="en-GB"/>
        </w:rPr>
        <w:t>,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reimbursement of Dutch dividend tax</w:t>
      </w:r>
      <w:r w:rsidR="00C80A25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or</w:t>
      </w:r>
      <w:r w:rsidR="00296E37" w:rsidRPr="00C47716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compensation of fo</w:t>
      </w:r>
      <w:r w:rsidR="00296E37" w:rsidRPr="00260D8C">
        <w:rPr>
          <w:rFonts w:ascii="Open Sans" w:hAnsi="Open Sans" w:cs="Open Sans"/>
          <w:i/>
          <w:iCs/>
          <w:sz w:val="18"/>
          <w:szCs w:val="18"/>
          <w:lang w:val="en-GB"/>
        </w:rPr>
        <w:t>reign withholding tax for F</w:t>
      </w:r>
      <w:r w:rsidR="00C860B2" w:rsidRPr="00260D8C">
        <w:rPr>
          <w:rFonts w:ascii="Open Sans" w:hAnsi="Open Sans" w:cs="Open Sans"/>
          <w:i/>
          <w:iCs/>
          <w:sz w:val="18"/>
          <w:szCs w:val="18"/>
          <w:lang w:val="en-GB"/>
        </w:rPr>
        <w:t>I</w:t>
      </w:r>
      <w:r w:rsidR="00296E37" w:rsidRPr="00260D8C">
        <w:rPr>
          <w:rFonts w:ascii="Open Sans" w:hAnsi="Open Sans" w:cs="Open Sans"/>
          <w:i/>
          <w:iCs/>
          <w:sz w:val="18"/>
          <w:szCs w:val="18"/>
          <w:lang w:val="en-GB"/>
        </w:rPr>
        <w:t>Is</w:t>
      </w:r>
      <w:r w:rsidR="00C80A25" w:rsidRPr="00260D8C">
        <w:rPr>
          <w:rFonts w:ascii="Open Sans" w:hAnsi="Open Sans" w:cs="Open Sans"/>
          <w:i/>
          <w:iCs/>
          <w:sz w:val="18"/>
          <w:szCs w:val="18"/>
          <w:lang w:val="en-GB"/>
        </w:rPr>
        <w:t>,</w:t>
      </w:r>
      <w:r w:rsidR="00296E37" w:rsidRPr="00260D8C">
        <w:rPr>
          <w:rFonts w:ascii="Open Sans" w:hAnsi="Open Sans" w:cs="Open Sans"/>
          <w:i/>
          <w:iCs/>
          <w:sz w:val="18"/>
          <w:szCs w:val="18"/>
          <w:lang w:val="en-GB"/>
        </w:rPr>
        <w:t xml:space="preserve"> </w:t>
      </w:r>
      <w:r w:rsidR="00C80A25" w:rsidRPr="00260D8C">
        <w:rPr>
          <w:rFonts w:ascii="Open Sans" w:hAnsi="Open Sans" w:cs="Open Sans"/>
          <w:i/>
          <w:iCs/>
          <w:sz w:val="18"/>
          <w:szCs w:val="18"/>
          <w:lang w:val="en-GB"/>
        </w:rPr>
        <w:t>n</w:t>
      </w:r>
      <w:r w:rsidR="00296E37" w:rsidRPr="00260D8C">
        <w:rPr>
          <w:rFonts w:ascii="Open Sans" w:hAnsi="Open Sans" w:cs="Open Sans"/>
          <w:i/>
          <w:iCs/>
          <w:sz w:val="18"/>
          <w:szCs w:val="18"/>
          <w:lang w:val="en-GB"/>
        </w:rPr>
        <w:t>or Dutch or international treaty polic</w:t>
      </w:r>
      <w:r w:rsidR="00C860B2" w:rsidRPr="00260D8C">
        <w:rPr>
          <w:rFonts w:ascii="Open Sans" w:hAnsi="Open Sans" w:cs="Open Sans"/>
          <w:i/>
          <w:iCs/>
          <w:sz w:val="18"/>
          <w:szCs w:val="18"/>
          <w:lang w:val="en-GB"/>
        </w:rPr>
        <w:t>ies</w:t>
      </w:r>
      <w:r w:rsidR="00296E37" w:rsidRPr="00260D8C">
        <w:rPr>
          <w:rFonts w:ascii="Open Sans" w:hAnsi="Open Sans" w:cs="Open Sans"/>
          <w:i/>
          <w:iCs/>
          <w:sz w:val="18"/>
          <w:szCs w:val="18"/>
          <w:lang w:val="en-GB"/>
        </w:rPr>
        <w:t>.</w:t>
      </w:r>
      <w:r w:rsidR="00DB0DBE" w:rsidRPr="00952BCC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296E37" w:rsidRPr="00260D8C">
        <w:rPr>
          <w:rFonts w:ascii="Open Sans" w:hAnsi="Open Sans" w:cs="Open Sans"/>
          <w:i/>
          <w:iCs/>
          <w:sz w:val="18"/>
          <w:szCs w:val="18"/>
          <w:lang w:val="en-GB"/>
        </w:rPr>
        <w:t xml:space="preserve">No rights can be derived from this article. </w:t>
      </w:r>
      <w:r w:rsidR="00251F0D" w:rsidRPr="00260D8C">
        <w:rPr>
          <w:rFonts w:ascii="Open Sans" w:eastAsia="Calibri" w:hAnsi="Open Sans" w:cs="Open Sans"/>
          <w:i/>
          <w:iCs/>
          <w:sz w:val="18"/>
          <w:szCs w:val="18"/>
          <w:lang w:val="en-GB"/>
        </w:rPr>
        <w:t>The information provided in this article does not constitute investment advice.</w:t>
      </w:r>
    </w:p>
    <w:p w14:paraId="66931410" w14:textId="77777777" w:rsidR="008A468D" w:rsidRPr="008C1E77" w:rsidRDefault="008A468D" w:rsidP="008A468D">
      <w:pPr>
        <w:pStyle w:val="Geenafstand"/>
        <w:rPr>
          <w:rFonts w:ascii="Open Sans" w:eastAsia="Calibri" w:hAnsi="Open Sans" w:cs="Open Sans"/>
          <w:sz w:val="18"/>
          <w:szCs w:val="18"/>
        </w:rPr>
      </w:pPr>
    </w:p>
    <w:p w14:paraId="337596AF" w14:textId="39CF9D98" w:rsidR="008A468D" w:rsidRPr="004809B0" w:rsidRDefault="008A468D" w:rsidP="008A468D">
      <w:pPr>
        <w:pStyle w:val="Geenafstand"/>
        <w:rPr>
          <w:rFonts w:ascii="Open Sans" w:hAnsi="Open Sans" w:cs="Open Sans"/>
          <w:color w:val="ED7D31" w:themeColor="accent2"/>
          <w:sz w:val="18"/>
          <w:szCs w:val="18"/>
        </w:rPr>
      </w:pPr>
      <w:r w:rsidRPr="004809B0">
        <w:rPr>
          <w:rFonts w:ascii="Open Sans" w:hAnsi="Open Sans" w:cs="Open Sans"/>
          <w:color w:val="ED7D31" w:themeColor="accent2"/>
          <w:sz w:val="18"/>
          <w:szCs w:val="18"/>
        </w:rPr>
        <w:t>------------------------------------------------------------------ END OF ARTICLE -----------------------------------------------------------------</w:t>
      </w:r>
    </w:p>
    <w:p w14:paraId="41228E7E" w14:textId="1A1BC559" w:rsidR="008A468D" w:rsidRPr="008A468D" w:rsidRDefault="008A468D" w:rsidP="008A468D">
      <w:pPr>
        <w:pStyle w:val="Geenafstand"/>
        <w:rPr>
          <w:rFonts w:ascii="Open Sans" w:hAnsi="Open Sans" w:cs="Open Sans"/>
          <w:sz w:val="18"/>
          <w:szCs w:val="18"/>
          <w:highlight w:val="cyan"/>
        </w:rPr>
      </w:pPr>
    </w:p>
    <w:p w14:paraId="2B4A906B" w14:textId="77777777" w:rsidR="008A468D" w:rsidRPr="008A468D" w:rsidRDefault="008A468D" w:rsidP="00251F0D">
      <w:pPr>
        <w:pStyle w:val="Geenafstand"/>
        <w:rPr>
          <w:rFonts w:ascii="Open Sans" w:hAnsi="Open Sans" w:cs="Open Sans"/>
          <w:b/>
          <w:bCs/>
          <w:sz w:val="18"/>
          <w:szCs w:val="18"/>
        </w:rPr>
      </w:pPr>
    </w:p>
    <w:sectPr w:rsidR="008A468D" w:rsidRPr="008A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98A7" w14:textId="77777777" w:rsidR="00632FE1" w:rsidRDefault="00632FE1" w:rsidP="00B11194">
      <w:pPr>
        <w:spacing w:after="0" w:line="240" w:lineRule="auto"/>
      </w:pPr>
      <w:r>
        <w:separator/>
      </w:r>
    </w:p>
  </w:endnote>
  <w:endnote w:type="continuationSeparator" w:id="0">
    <w:p w14:paraId="2DA08A73" w14:textId="77777777" w:rsidR="00632FE1" w:rsidRDefault="00632FE1" w:rsidP="00B1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4DA4" w14:textId="77777777" w:rsidR="00632FE1" w:rsidRDefault="00632FE1" w:rsidP="00B11194">
      <w:pPr>
        <w:spacing w:after="0" w:line="240" w:lineRule="auto"/>
      </w:pPr>
      <w:r>
        <w:separator/>
      </w:r>
    </w:p>
  </w:footnote>
  <w:footnote w:type="continuationSeparator" w:id="0">
    <w:p w14:paraId="12C1AB56" w14:textId="77777777" w:rsidR="00632FE1" w:rsidRDefault="00632FE1" w:rsidP="00B11194">
      <w:pPr>
        <w:spacing w:after="0" w:line="240" w:lineRule="auto"/>
      </w:pPr>
      <w:r>
        <w:continuationSeparator/>
      </w:r>
    </w:p>
  </w:footnote>
  <w:footnote w:id="1">
    <w:p w14:paraId="78BCD14F" w14:textId="26C926D4" w:rsidR="002C08FF" w:rsidRDefault="002C08F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67A38">
        <w:rPr>
          <w:lang w:val="en-GB"/>
        </w:rPr>
        <w:t>agreements to prevent taxing income twice by allocating taxing rights over this income between two countries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D8C"/>
    <w:multiLevelType w:val="hybridMultilevel"/>
    <w:tmpl w:val="7A50D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6397"/>
    <w:multiLevelType w:val="hybridMultilevel"/>
    <w:tmpl w:val="C6265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322B"/>
    <w:multiLevelType w:val="hybridMultilevel"/>
    <w:tmpl w:val="7730CDD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19627043">
    <w:abstractNumId w:val="2"/>
  </w:num>
  <w:num w:numId="2" w16cid:durableId="1251236150">
    <w:abstractNumId w:val="0"/>
  </w:num>
  <w:num w:numId="3" w16cid:durableId="1265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37"/>
    <w:rsid w:val="00000120"/>
    <w:rsid w:val="00001C90"/>
    <w:rsid w:val="00006522"/>
    <w:rsid w:val="0000687C"/>
    <w:rsid w:val="00007FC4"/>
    <w:rsid w:val="00014A1A"/>
    <w:rsid w:val="00015774"/>
    <w:rsid w:val="00020CCA"/>
    <w:rsid w:val="000223A8"/>
    <w:rsid w:val="0002288D"/>
    <w:rsid w:val="00022B19"/>
    <w:rsid w:val="0003036D"/>
    <w:rsid w:val="0003254E"/>
    <w:rsid w:val="00044191"/>
    <w:rsid w:val="00060937"/>
    <w:rsid w:val="0008132D"/>
    <w:rsid w:val="0008351C"/>
    <w:rsid w:val="000848AC"/>
    <w:rsid w:val="000928CF"/>
    <w:rsid w:val="00093AE7"/>
    <w:rsid w:val="0009530F"/>
    <w:rsid w:val="00097448"/>
    <w:rsid w:val="000A3AAD"/>
    <w:rsid w:val="000A752B"/>
    <w:rsid w:val="000B02CC"/>
    <w:rsid w:val="000B09E6"/>
    <w:rsid w:val="000C047A"/>
    <w:rsid w:val="000C3DB1"/>
    <w:rsid w:val="000D75BE"/>
    <w:rsid w:val="000E5BFF"/>
    <w:rsid w:val="000F30A2"/>
    <w:rsid w:val="000F5472"/>
    <w:rsid w:val="000F7AD6"/>
    <w:rsid w:val="001021A7"/>
    <w:rsid w:val="001040F9"/>
    <w:rsid w:val="00106009"/>
    <w:rsid w:val="0011272E"/>
    <w:rsid w:val="00112D5B"/>
    <w:rsid w:val="0012251C"/>
    <w:rsid w:val="00126331"/>
    <w:rsid w:val="00135D4B"/>
    <w:rsid w:val="00144AEE"/>
    <w:rsid w:val="0014778A"/>
    <w:rsid w:val="00150915"/>
    <w:rsid w:val="00151B6F"/>
    <w:rsid w:val="00156056"/>
    <w:rsid w:val="0015792C"/>
    <w:rsid w:val="00163ACD"/>
    <w:rsid w:val="0016414C"/>
    <w:rsid w:val="00165128"/>
    <w:rsid w:val="00172F69"/>
    <w:rsid w:val="00176490"/>
    <w:rsid w:val="001813C6"/>
    <w:rsid w:val="001835D4"/>
    <w:rsid w:val="0018548B"/>
    <w:rsid w:val="00186DD3"/>
    <w:rsid w:val="00194281"/>
    <w:rsid w:val="001A7D6B"/>
    <w:rsid w:val="001B058E"/>
    <w:rsid w:val="001B3CDD"/>
    <w:rsid w:val="001B70D7"/>
    <w:rsid w:val="001C0973"/>
    <w:rsid w:val="001C34F9"/>
    <w:rsid w:val="001C606C"/>
    <w:rsid w:val="001D7438"/>
    <w:rsid w:val="001E0A34"/>
    <w:rsid w:val="001E2488"/>
    <w:rsid w:val="001E6710"/>
    <w:rsid w:val="001E6DF3"/>
    <w:rsid w:val="001E73B8"/>
    <w:rsid w:val="001F0767"/>
    <w:rsid w:val="001F36AF"/>
    <w:rsid w:val="001F3C71"/>
    <w:rsid w:val="001F62F4"/>
    <w:rsid w:val="001F7083"/>
    <w:rsid w:val="002033E7"/>
    <w:rsid w:val="00203B9A"/>
    <w:rsid w:val="0020530B"/>
    <w:rsid w:val="00216688"/>
    <w:rsid w:val="00216C9F"/>
    <w:rsid w:val="00217A51"/>
    <w:rsid w:val="00223043"/>
    <w:rsid w:val="002235A4"/>
    <w:rsid w:val="002263ED"/>
    <w:rsid w:val="00231B92"/>
    <w:rsid w:val="00242361"/>
    <w:rsid w:val="00251F0D"/>
    <w:rsid w:val="00251F85"/>
    <w:rsid w:val="0025430C"/>
    <w:rsid w:val="00260D8C"/>
    <w:rsid w:val="0026274E"/>
    <w:rsid w:val="00262CEB"/>
    <w:rsid w:val="002652C1"/>
    <w:rsid w:val="0027270C"/>
    <w:rsid w:val="00285138"/>
    <w:rsid w:val="00291D45"/>
    <w:rsid w:val="002929D8"/>
    <w:rsid w:val="00295B2A"/>
    <w:rsid w:val="00296E37"/>
    <w:rsid w:val="002A507E"/>
    <w:rsid w:val="002A6DBC"/>
    <w:rsid w:val="002B055E"/>
    <w:rsid w:val="002C08FF"/>
    <w:rsid w:val="002C1D66"/>
    <w:rsid w:val="002C2F1F"/>
    <w:rsid w:val="002C7DAB"/>
    <w:rsid w:val="002F47A1"/>
    <w:rsid w:val="002F6DF6"/>
    <w:rsid w:val="003010FB"/>
    <w:rsid w:val="00302E25"/>
    <w:rsid w:val="0031251D"/>
    <w:rsid w:val="00317926"/>
    <w:rsid w:val="00321EDB"/>
    <w:rsid w:val="00322A3D"/>
    <w:rsid w:val="00327581"/>
    <w:rsid w:val="003276B7"/>
    <w:rsid w:val="00330806"/>
    <w:rsid w:val="0034010B"/>
    <w:rsid w:val="0034195F"/>
    <w:rsid w:val="00347F8F"/>
    <w:rsid w:val="003536D5"/>
    <w:rsid w:val="00355644"/>
    <w:rsid w:val="0035790C"/>
    <w:rsid w:val="00363D33"/>
    <w:rsid w:val="003673DD"/>
    <w:rsid w:val="0037174C"/>
    <w:rsid w:val="00372EEE"/>
    <w:rsid w:val="00375292"/>
    <w:rsid w:val="003763F4"/>
    <w:rsid w:val="0038143B"/>
    <w:rsid w:val="003A27F2"/>
    <w:rsid w:val="003A2BD8"/>
    <w:rsid w:val="003A4CCA"/>
    <w:rsid w:val="003A4F33"/>
    <w:rsid w:val="003B03D5"/>
    <w:rsid w:val="003B7BBE"/>
    <w:rsid w:val="003C0750"/>
    <w:rsid w:val="003C1E81"/>
    <w:rsid w:val="003E28B9"/>
    <w:rsid w:val="003E5371"/>
    <w:rsid w:val="003F2139"/>
    <w:rsid w:val="00400AFD"/>
    <w:rsid w:val="00403FE6"/>
    <w:rsid w:val="0040446B"/>
    <w:rsid w:val="00411769"/>
    <w:rsid w:val="004138CF"/>
    <w:rsid w:val="00415444"/>
    <w:rsid w:val="004227F8"/>
    <w:rsid w:val="00426AE0"/>
    <w:rsid w:val="00427B2C"/>
    <w:rsid w:val="004414B7"/>
    <w:rsid w:val="00443C7E"/>
    <w:rsid w:val="00445C4E"/>
    <w:rsid w:val="00447B94"/>
    <w:rsid w:val="00452564"/>
    <w:rsid w:val="0045256A"/>
    <w:rsid w:val="00461520"/>
    <w:rsid w:val="0046446F"/>
    <w:rsid w:val="004648C4"/>
    <w:rsid w:val="00466998"/>
    <w:rsid w:val="00467AD1"/>
    <w:rsid w:val="00470192"/>
    <w:rsid w:val="00472C47"/>
    <w:rsid w:val="004809B0"/>
    <w:rsid w:val="0048147C"/>
    <w:rsid w:val="004835EF"/>
    <w:rsid w:val="00487574"/>
    <w:rsid w:val="004923F4"/>
    <w:rsid w:val="00494FE7"/>
    <w:rsid w:val="00495F0B"/>
    <w:rsid w:val="004A213C"/>
    <w:rsid w:val="004A2921"/>
    <w:rsid w:val="004A4D1B"/>
    <w:rsid w:val="004A6230"/>
    <w:rsid w:val="004A6FCD"/>
    <w:rsid w:val="004B5BE0"/>
    <w:rsid w:val="004C09E8"/>
    <w:rsid w:val="004C1A29"/>
    <w:rsid w:val="004C332C"/>
    <w:rsid w:val="004C50D2"/>
    <w:rsid w:val="004D5D4F"/>
    <w:rsid w:val="004D7707"/>
    <w:rsid w:val="004D7E0D"/>
    <w:rsid w:val="004E0987"/>
    <w:rsid w:val="004E371F"/>
    <w:rsid w:val="004F6FA0"/>
    <w:rsid w:val="004F7A55"/>
    <w:rsid w:val="004F7F5E"/>
    <w:rsid w:val="0050251E"/>
    <w:rsid w:val="0051195D"/>
    <w:rsid w:val="005120B8"/>
    <w:rsid w:val="00515179"/>
    <w:rsid w:val="00517327"/>
    <w:rsid w:val="00524A60"/>
    <w:rsid w:val="00526C14"/>
    <w:rsid w:val="005376F0"/>
    <w:rsid w:val="0054124D"/>
    <w:rsid w:val="00542FB2"/>
    <w:rsid w:val="005500A6"/>
    <w:rsid w:val="00553B74"/>
    <w:rsid w:val="005570A6"/>
    <w:rsid w:val="00557761"/>
    <w:rsid w:val="00560B63"/>
    <w:rsid w:val="0056115D"/>
    <w:rsid w:val="0056252F"/>
    <w:rsid w:val="00562D92"/>
    <w:rsid w:val="00562F3F"/>
    <w:rsid w:val="00563D36"/>
    <w:rsid w:val="00566892"/>
    <w:rsid w:val="005705AE"/>
    <w:rsid w:val="00585309"/>
    <w:rsid w:val="00591663"/>
    <w:rsid w:val="00594CAB"/>
    <w:rsid w:val="005950A6"/>
    <w:rsid w:val="0059613D"/>
    <w:rsid w:val="005A2A50"/>
    <w:rsid w:val="005A5EA2"/>
    <w:rsid w:val="005B4BD6"/>
    <w:rsid w:val="005C665D"/>
    <w:rsid w:val="005E4C28"/>
    <w:rsid w:val="005E6217"/>
    <w:rsid w:val="005E6C08"/>
    <w:rsid w:val="005E787D"/>
    <w:rsid w:val="0060778F"/>
    <w:rsid w:val="006116C2"/>
    <w:rsid w:val="006117CA"/>
    <w:rsid w:val="00612B98"/>
    <w:rsid w:val="00613677"/>
    <w:rsid w:val="0061676C"/>
    <w:rsid w:val="006225F5"/>
    <w:rsid w:val="00623998"/>
    <w:rsid w:val="00632FE1"/>
    <w:rsid w:val="006344D7"/>
    <w:rsid w:val="006400C8"/>
    <w:rsid w:val="006518D8"/>
    <w:rsid w:val="00672435"/>
    <w:rsid w:val="00675CED"/>
    <w:rsid w:val="00677C77"/>
    <w:rsid w:val="00677EEC"/>
    <w:rsid w:val="00686779"/>
    <w:rsid w:val="00686C44"/>
    <w:rsid w:val="00690BFD"/>
    <w:rsid w:val="00692FDF"/>
    <w:rsid w:val="006936AC"/>
    <w:rsid w:val="0069629C"/>
    <w:rsid w:val="00697066"/>
    <w:rsid w:val="006A2EDB"/>
    <w:rsid w:val="006A3A16"/>
    <w:rsid w:val="006B129F"/>
    <w:rsid w:val="006B46B6"/>
    <w:rsid w:val="006B65E3"/>
    <w:rsid w:val="006B760C"/>
    <w:rsid w:val="006C1D42"/>
    <w:rsid w:val="006C636B"/>
    <w:rsid w:val="006D25D5"/>
    <w:rsid w:val="006D6684"/>
    <w:rsid w:val="006E6467"/>
    <w:rsid w:val="006F4751"/>
    <w:rsid w:val="0070241E"/>
    <w:rsid w:val="00707C46"/>
    <w:rsid w:val="00711493"/>
    <w:rsid w:val="007153B4"/>
    <w:rsid w:val="00720BD1"/>
    <w:rsid w:val="0072515E"/>
    <w:rsid w:val="00725ED5"/>
    <w:rsid w:val="00735A5D"/>
    <w:rsid w:val="00735F00"/>
    <w:rsid w:val="00740F92"/>
    <w:rsid w:val="00743ECA"/>
    <w:rsid w:val="00753D35"/>
    <w:rsid w:val="00754D2C"/>
    <w:rsid w:val="00757B6C"/>
    <w:rsid w:val="00757E55"/>
    <w:rsid w:val="00762EC8"/>
    <w:rsid w:val="007634BF"/>
    <w:rsid w:val="00765CFC"/>
    <w:rsid w:val="00765D00"/>
    <w:rsid w:val="00771DE5"/>
    <w:rsid w:val="00771F39"/>
    <w:rsid w:val="007733F6"/>
    <w:rsid w:val="007823AC"/>
    <w:rsid w:val="00790CE8"/>
    <w:rsid w:val="00791C7C"/>
    <w:rsid w:val="00792146"/>
    <w:rsid w:val="007A1A52"/>
    <w:rsid w:val="007A257F"/>
    <w:rsid w:val="007A5168"/>
    <w:rsid w:val="007A5F99"/>
    <w:rsid w:val="007A6F11"/>
    <w:rsid w:val="007A7015"/>
    <w:rsid w:val="007A795B"/>
    <w:rsid w:val="007B401D"/>
    <w:rsid w:val="007B5346"/>
    <w:rsid w:val="007C0AC0"/>
    <w:rsid w:val="007C427A"/>
    <w:rsid w:val="007C748C"/>
    <w:rsid w:val="007E0224"/>
    <w:rsid w:val="007E351C"/>
    <w:rsid w:val="007E4FAF"/>
    <w:rsid w:val="007F525A"/>
    <w:rsid w:val="0080266B"/>
    <w:rsid w:val="00807318"/>
    <w:rsid w:val="00814FA9"/>
    <w:rsid w:val="008161BC"/>
    <w:rsid w:val="0082107D"/>
    <w:rsid w:val="008218C5"/>
    <w:rsid w:val="00822119"/>
    <w:rsid w:val="00823254"/>
    <w:rsid w:val="0082380E"/>
    <w:rsid w:val="008243EE"/>
    <w:rsid w:val="00824863"/>
    <w:rsid w:val="00831019"/>
    <w:rsid w:val="00833CF8"/>
    <w:rsid w:val="008426CE"/>
    <w:rsid w:val="0085091F"/>
    <w:rsid w:val="00852701"/>
    <w:rsid w:val="00853A03"/>
    <w:rsid w:val="00853EEB"/>
    <w:rsid w:val="00864E48"/>
    <w:rsid w:val="00866F68"/>
    <w:rsid w:val="00870603"/>
    <w:rsid w:val="00870F4B"/>
    <w:rsid w:val="00871C62"/>
    <w:rsid w:val="00874E37"/>
    <w:rsid w:val="00884587"/>
    <w:rsid w:val="00891C80"/>
    <w:rsid w:val="008A0C21"/>
    <w:rsid w:val="008A15B8"/>
    <w:rsid w:val="008A468D"/>
    <w:rsid w:val="008A69D1"/>
    <w:rsid w:val="008A7950"/>
    <w:rsid w:val="008B1431"/>
    <w:rsid w:val="008B5303"/>
    <w:rsid w:val="008B747F"/>
    <w:rsid w:val="008C05B4"/>
    <w:rsid w:val="008C1E77"/>
    <w:rsid w:val="008C332D"/>
    <w:rsid w:val="008C5B29"/>
    <w:rsid w:val="008C70FD"/>
    <w:rsid w:val="008D2148"/>
    <w:rsid w:val="008D42F6"/>
    <w:rsid w:val="008E09B9"/>
    <w:rsid w:val="008E10E1"/>
    <w:rsid w:val="008E3A51"/>
    <w:rsid w:val="008E6209"/>
    <w:rsid w:val="008F116E"/>
    <w:rsid w:val="008F4621"/>
    <w:rsid w:val="008F5B89"/>
    <w:rsid w:val="008F5E46"/>
    <w:rsid w:val="008F6FE4"/>
    <w:rsid w:val="008F7145"/>
    <w:rsid w:val="00901B89"/>
    <w:rsid w:val="009031E9"/>
    <w:rsid w:val="009046C0"/>
    <w:rsid w:val="009105E1"/>
    <w:rsid w:val="00911AD8"/>
    <w:rsid w:val="00914F47"/>
    <w:rsid w:val="00920BEC"/>
    <w:rsid w:val="00922EC2"/>
    <w:rsid w:val="0092346F"/>
    <w:rsid w:val="009328E9"/>
    <w:rsid w:val="00933EC5"/>
    <w:rsid w:val="0094406D"/>
    <w:rsid w:val="00952BC5"/>
    <w:rsid w:val="00952BCC"/>
    <w:rsid w:val="00976C0A"/>
    <w:rsid w:val="00982605"/>
    <w:rsid w:val="009839C8"/>
    <w:rsid w:val="00986DF6"/>
    <w:rsid w:val="009934EF"/>
    <w:rsid w:val="009A1090"/>
    <w:rsid w:val="009A4BB5"/>
    <w:rsid w:val="009B1047"/>
    <w:rsid w:val="009B2CCF"/>
    <w:rsid w:val="009B5869"/>
    <w:rsid w:val="009C4725"/>
    <w:rsid w:val="009E04B4"/>
    <w:rsid w:val="009E65B4"/>
    <w:rsid w:val="009F3F57"/>
    <w:rsid w:val="009F79F6"/>
    <w:rsid w:val="009F7AE0"/>
    <w:rsid w:val="00A007F3"/>
    <w:rsid w:val="00A05E95"/>
    <w:rsid w:val="00A0745B"/>
    <w:rsid w:val="00A10C9D"/>
    <w:rsid w:val="00A132AB"/>
    <w:rsid w:val="00A153B5"/>
    <w:rsid w:val="00A2745D"/>
    <w:rsid w:val="00A34522"/>
    <w:rsid w:val="00A40DC4"/>
    <w:rsid w:val="00A428AF"/>
    <w:rsid w:val="00A43A74"/>
    <w:rsid w:val="00A43EE5"/>
    <w:rsid w:val="00A44EC0"/>
    <w:rsid w:val="00A45A34"/>
    <w:rsid w:val="00A60F81"/>
    <w:rsid w:val="00A633BC"/>
    <w:rsid w:val="00A64EC4"/>
    <w:rsid w:val="00A664B9"/>
    <w:rsid w:val="00A678DD"/>
    <w:rsid w:val="00A72E62"/>
    <w:rsid w:val="00A747E2"/>
    <w:rsid w:val="00A751F3"/>
    <w:rsid w:val="00A80BE5"/>
    <w:rsid w:val="00A81B24"/>
    <w:rsid w:val="00A81E7C"/>
    <w:rsid w:val="00A92533"/>
    <w:rsid w:val="00A94014"/>
    <w:rsid w:val="00A957F2"/>
    <w:rsid w:val="00AA335D"/>
    <w:rsid w:val="00AA3906"/>
    <w:rsid w:val="00AB20EE"/>
    <w:rsid w:val="00AD08EC"/>
    <w:rsid w:val="00AD3622"/>
    <w:rsid w:val="00AE0D42"/>
    <w:rsid w:val="00AE288F"/>
    <w:rsid w:val="00AE6A76"/>
    <w:rsid w:val="00AF6D89"/>
    <w:rsid w:val="00B006D4"/>
    <w:rsid w:val="00B0169D"/>
    <w:rsid w:val="00B02F69"/>
    <w:rsid w:val="00B05CFA"/>
    <w:rsid w:val="00B077A9"/>
    <w:rsid w:val="00B10602"/>
    <w:rsid w:val="00B11194"/>
    <w:rsid w:val="00B145E2"/>
    <w:rsid w:val="00B150B7"/>
    <w:rsid w:val="00B1577E"/>
    <w:rsid w:val="00B2168A"/>
    <w:rsid w:val="00B2535C"/>
    <w:rsid w:val="00B25B47"/>
    <w:rsid w:val="00B32576"/>
    <w:rsid w:val="00B32D54"/>
    <w:rsid w:val="00B33EC3"/>
    <w:rsid w:val="00B443D8"/>
    <w:rsid w:val="00B45AAC"/>
    <w:rsid w:val="00B46BDA"/>
    <w:rsid w:val="00B5744B"/>
    <w:rsid w:val="00B64B9C"/>
    <w:rsid w:val="00B80A35"/>
    <w:rsid w:val="00B92693"/>
    <w:rsid w:val="00B9310A"/>
    <w:rsid w:val="00BA602E"/>
    <w:rsid w:val="00BB5A81"/>
    <w:rsid w:val="00BB5E2D"/>
    <w:rsid w:val="00BB6828"/>
    <w:rsid w:val="00BC37F6"/>
    <w:rsid w:val="00BD2CCC"/>
    <w:rsid w:val="00BD4FBE"/>
    <w:rsid w:val="00BE5790"/>
    <w:rsid w:val="00BF7074"/>
    <w:rsid w:val="00C00F69"/>
    <w:rsid w:val="00C04D6B"/>
    <w:rsid w:val="00C06609"/>
    <w:rsid w:val="00C1396F"/>
    <w:rsid w:val="00C16448"/>
    <w:rsid w:val="00C21B1D"/>
    <w:rsid w:val="00C2464D"/>
    <w:rsid w:val="00C27E61"/>
    <w:rsid w:val="00C307A6"/>
    <w:rsid w:val="00C31A1E"/>
    <w:rsid w:val="00C34514"/>
    <w:rsid w:val="00C417B9"/>
    <w:rsid w:val="00C47716"/>
    <w:rsid w:val="00C61538"/>
    <w:rsid w:val="00C63402"/>
    <w:rsid w:val="00C72355"/>
    <w:rsid w:val="00C74FFE"/>
    <w:rsid w:val="00C76044"/>
    <w:rsid w:val="00C80A25"/>
    <w:rsid w:val="00C83235"/>
    <w:rsid w:val="00C860B2"/>
    <w:rsid w:val="00C96772"/>
    <w:rsid w:val="00C96C66"/>
    <w:rsid w:val="00CA4740"/>
    <w:rsid w:val="00CB2AE0"/>
    <w:rsid w:val="00CB5908"/>
    <w:rsid w:val="00CC230E"/>
    <w:rsid w:val="00CD0C38"/>
    <w:rsid w:val="00CD699A"/>
    <w:rsid w:val="00CE077F"/>
    <w:rsid w:val="00CE304C"/>
    <w:rsid w:val="00CF1662"/>
    <w:rsid w:val="00CF4DB4"/>
    <w:rsid w:val="00D02F8D"/>
    <w:rsid w:val="00D117D0"/>
    <w:rsid w:val="00D21420"/>
    <w:rsid w:val="00D2287D"/>
    <w:rsid w:val="00D332CB"/>
    <w:rsid w:val="00D3557C"/>
    <w:rsid w:val="00D437AA"/>
    <w:rsid w:val="00D5030C"/>
    <w:rsid w:val="00D50BCF"/>
    <w:rsid w:val="00D516D7"/>
    <w:rsid w:val="00D51E06"/>
    <w:rsid w:val="00D53B5F"/>
    <w:rsid w:val="00D55213"/>
    <w:rsid w:val="00D62611"/>
    <w:rsid w:val="00D73573"/>
    <w:rsid w:val="00D77D9F"/>
    <w:rsid w:val="00D91758"/>
    <w:rsid w:val="00DA0D13"/>
    <w:rsid w:val="00DA4D39"/>
    <w:rsid w:val="00DB0DBE"/>
    <w:rsid w:val="00DD3C9D"/>
    <w:rsid w:val="00DD453B"/>
    <w:rsid w:val="00DE3E29"/>
    <w:rsid w:val="00DF01AA"/>
    <w:rsid w:val="00DF2DDB"/>
    <w:rsid w:val="00DF40F0"/>
    <w:rsid w:val="00DF42C7"/>
    <w:rsid w:val="00DF4945"/>
    <w:rsid w:val="00DF521C"/>
    <w:rsid w:val="00E009C8"/>
    <w:rsid w:val="00E05706"/>
    <w:rsid w:val="00E12101"/>
    <w:rsid w:val="00E157B4"/>
    <w:rsid w:val="00E15913"/>
    <w:rsid w:val="00E16FE9"/>
    <w:rsid w:val="00E21E92"/>
    <w:rsid w:val="00E27DF7"/>
    <w:rsid w:val="00E31ABC"/>
    <w:rsid w:val="00E320D4"/>
    <w:rsid w:val="00E34D85"/>
    <w:rsid w:val="00E34FDD"/>
    <w:rsid w:val="00E40F26"/>
    <w:rsid w:val="00E423F8"/>
    <w:rsid w:val="00E52148"/>
    <w:rsid w:val="00E562EE"/>
    <w:rsid w:val="00E62263"/>
    <w:rsid w:val="00E739E3"/>
    <w:rsid w:val="00E87552"/>
    <w:rsid w:val="00E91FE4"/>
    <w:rsid w:val="00E9348B"/>
    <w:rsid w:val="00EA22C9"/>
    <w:rsid w:val="00EA4745"/>
    <w:rsid w:val="00EA5E69"/>
    <w:rsid w:val="00EA6694"/>
    <w:rsid w:val="00EB2003"/>
    <w:rsid w:val="00EB21ED"/>
    <w:rsid w:val="00EB60D0"/>
    <w:rsid w:val="00EB75BC"/>
    <w:rsid w:val="00EC1525"/>
    <w:rsid w:val="00EC3CCE"/>
    <w:rsid w:val="00ED0432"/>
    <w:rsid w:val="00ED0F6A"/>
    <w:rsid w:val="00ED1B75"/>
    <w:rsid w:val="00ED2E7D"/>
    <w:rsid w:val="00ED658B"/>
    <w:rsid w:val="00EE18A6"/>
    <w:rsid w:val="00EE5ADC"/>
    <w:rsid w:val="00F0339E"/>
    <w:rsid w:val="00F04D70"/>
    <w:rsid w:val="00F050D3"/>
    <w:rsid w:val="00F05323"/>
    <w:rsid w:val="00F0679A"/>
    <w:rsid w:val="00F076CB"/>
    <w:rsid w:val="00F07BBB"/>
    <w:rsid w:val="00F14D71"/>
    <w:rsid w:val="00F20489"/>
    <w:rsid w:val="00F22308"/>
    <w:rsid w:val="00F2772B"/>
    <w:rsid w:val="00F315CE"/>
    <w:rsid w:val="00F37F7E"/>
    <w:rsid w:val="00F47C5C"/>
    <w:rsid w:val="00F54422"/>
    <w:rsid w:val="00F5585B"/>
    <w:rsid w:val="00F57F0C"/>
    <w:rsid w:val="00F63403"/>
    <w:rsid w:val="00F6384A"/>
    <w:rsid w:val="00F63ABF"/>
    <w:rsid w:val="00F646A3"/>
    <w:rsid w:val="00F64CD2"/>
    <w:rsid w:val="00F72819"/>
    <w:rsid w:val="00F87031"/>
    <w:rsid w:val="00F87F4A"/>
    <w:rsid w:val="00F94E5A"/>
    <w:rsid w:val="00FA0721"/>
    <w:rsid w:val="00FB40B3"/>
    <w:rsid w:val="00FB42B7"/>
    <w:rsid w:val="00FB7A64"/>
    <w:rsid w:val="00FC45F7"/>
    <w:rsid w:val="00FC7C1E"/>
    <w:rsid w:val="00FD5156"/>
    <w:rsid w:val="00FD77F0"/>
    <w:rsid w:val="00FE1AF1"/>
    <w:rsid w:val="00FE400D"/>
    <w:rsid w:val="00FE435A"/>
    <w:rsid w:val="00FF7100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A70CD"/>
  <w15:docId w15:val="{75C19A41-2C79-4E5B-81AB-0DB147FA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443C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5F99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A5F99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rsid w:val="00B1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1119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B11194"/>
    <w:rPr>
      <w:vertAlign w:val="superscript"/>
    </w:rPr>
  </w:style>
  <w:style w:type="character" w:customStyle="1" w:styleId="Kop1Char">
    <w:name w:val="Kop 1 Char"/>
    <w:basedOn w:val="Standaardalinea-lettertype"/>
    <w:link w:val="Kop1"/>
    <w:rsid w:val="00443C7E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014A1A"/>
    <w:pPr>
      <w:ind w:left="720"/>
      <w:contextualSpacing/>
    </w:pPr>
  </w:style>
  <w:style w:type="paragraph" w:styleId="Revisie">
    <w:name w:val="Revision"/>
    <w:hidden/>
    <w:uiPriority w:val="99"/>
    <w:semiHidden/>
    <w:rsid w:val="004414B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823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23A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23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3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3AC"/>
    <w:rPr>
      <w:b/>
      <w:bCs/>
      <w:sz w:val="20"/>
      <w:szCs w:val="20"/>
    </w:rPr>
  </w:style>
  <w:style w:type="paragraph" w:styleId="Geenafstand">
    <w:name w:val="No Spacing"/>
    <w:uiPriority w:val="1"/>
    <w:qFormat/>
    <w:rsid w:val="00B9310A"/>
    <w:pPr>
      <w:spacing w:after="0" w:line="240" w:lineRule="auto"/>
    </w:pPr>
  </w:style>
  <w:style w:type="character" w:customStyle="1" w:styleId="Vermelding1">
    <w:name w:val="Vermelding1"/>
    <w:basedOn w:val="Standaardalinea-lettertype"/>
    <w:uiPriority w:val="99"/>
    <w:unhideWhenUsed/>
    <w:rsid w:val="00BF7074"/>
    <w:rPr>
      <w:color w:val="2B579A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75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52B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39"/>
    <w:rsid w:val="00DB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C05B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A6FCD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0D8C"/>
  </w:style>
  <w:style w:type="paragraph" w:styleId="Voettekst">
    <w:name w:val="footer"/>
    <w:basedOn w:val="Standaard"/>
    <w:link w:val="VoettekstChar"/>
    <w:uiPriority w:val="99"/>
    <w:unhideWhenUsed/>
    <w:rsid w:val="002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386B154ABA4E928593ECAE60CBEA" ma:contentTypeVersion="13" ma:contentTypeDescription="Een nieuw document maken." ma:contentTypeScope="" ma:versionID="c3a66df66edd0fbe075a995f8641fcd5">
  <xsd:schema xmlns:xsd="http://www.w3.org/2001/XMLSchema" xmlns:xs="http://www.w3.org/2001/XMLSchema" xmlns:p="http://schemas.microsoft.com/office/2006/metadata/properties" xmlns:ns2="b51a9419-396c-4acd-8dcd-842c7b9d70ff" xmlns:ns3="5ef70cb9-fd48-4514-b096-b96817a27431" targetNamespace="http://schemas.microsoft.com/office/2006/metadata/properties" ma:root="true" ma:fieldsID="e042335d4fd4ea43676f7fc6f4e671c0" ns2:_="" ns3:_="">
    <xsd:import namespace="b51a9419-396c-4acd-8dcd-842c7b9d70ff"/>
    <xsd:import namespace="5ef70cb9-fd48-4514-b096-b96817a27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9419-396c-4acd-8dcd-842c7b9d7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0cb9-fd48-4514-b096-b96817a27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05FE1-034E-4C1B-B759-47293234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7A251-C05E-9D45-8E21-0AE4CB250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2D1A5-CF40-44EE-92C7-CFF5D5A69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A6498F-03B8-4309-A6A6-42B656E0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a9419-396c-4acd-8dcd-842c7b9d70ff"/>
    <ds:schemaRef ds:uri="5ef70cb9-fd48-4514-b096-b96817a27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5181</Characters>
  <Application>Microsoft Office Word</Application>
  <DocSecurity>0</DocSecurity>
  <Lines>84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Jaap Omvlee | Cognito Media</dc:creator>
  <cp:keywords/>
  <dc:description/>
  <cp:lastModifiedBy>C.J.M. Fletcher</cp:lastModifiedBy>
  <cp:revision>4</cp:revision>
  <cp:lastPrinted>2022-05-06T13:38:00Z</cp:lastPrinted>
  <dcterms:created xsi:type="dcterms:W3CDTF">2022-05-25T12:27:00Z</dcterms:created>
  <dcterms:modified xsi:type="dcterms:W3CDTF">2022-05-25T12:28:00Z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0x0101007F0D386B154ABA4E928593ECAE60CBEA</vt:lpwstr>
  </property>
  <property fmtid="{D5CDD505-2E9C-101B-9397-08002B2CF9AE}" pid="3" name="MSIP_Label_04da07a6-bb6b-4ce3-8ae9-d00fb5800c48_Enabled">
    <vt:lpwstr>true</vt:lpwstr>
  </property>
  <property fmtid="{D5CDD505-2E9C-101B-9397-08002B2CF9AE}" pid="4" name="MSIP_Label_04da07a6-bb6b-4ce3-8ae9-d00fb5800c48_SetDate">
    <vt:lpwstr>2022-05-06T08:24:56Z</vt:lpwstr>
  </property>
  <property fmtid="{D5CDD505-2E9C-101B-9397-08002B2CF9AE}" pid="5" name="MSIP_Label_04da07a6-bb6b-4ce3-8ae9-d00fb5800c48_Method">
    <vt:lpwstr>Standard</vt:lpwstr>
  </property>
  <property fmtid="{D5CDD505-2E9C-101B-9397-08002B2CF9AE}" pid="6" name="MSIP_Label_04da07a6-bb6b-4ce3-8ae9-d00fb5800c48_Name">
    <vt:lpwstr>04da07a6-bb6b-4ce3-8ae9-d00fb5800c48</vt:lpwstr>
  </property>
  <property fmtid="{D5CDD505-2E9C-101B-9397-08002B2CF9AE}" pid="7" name="MSIP_Label_04da07a6-bb6b-4ce3-8ae9-d00fb5800c48_SiteId">
    <vt:lpwstr>71dd74e2-a620-4a8e-9ac4-a19e1ff9ddff</vt:lpwstr>
  </property>
  <property fmtid="{D5CDD505-2E9C-101B-9397-08002B2CF9AE}" pid="8" name="MSIP_Label_04da07a6-bb6b-4ce3-8ae9-d00fb5800c48_ActionId">
    <vt:lpwstr>c435f41c-05ca-48cc-b42b-b26c10f7e671</vt:lpwstr>
  </property>
  <property fmtid="{D5CDD505-2E9C-101B-9397-08002B2CF9AE}" pid="9" name="MSIP_Label_04da07a6-bb6b-4ce3-8ae9-d00fb5800c48_ContentBits">
    <vt:lpwstr>0</vt:lpwstr>
  </property>
</Properties>
</file>